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F037" w14:textId="77777777" w:rsidR="00E475C7" w:rsidRPr="00E475C7" w:rsidRDefault="00E475C7" w:rsidP="00296FA8">
      <w:pPr>
        <w:pStyle w:val="Heading5"/>
      </w:pPr>
      <w:r w:rsidRPr="00E475C7">
        <w:t>Search Description</w:t>
      </w:r>
    </w:p>
    <w:p w14:paraId="62EBE0CE" w14:textId="306B99AA" w:rsidR="006D45B8" w:rsidRPr="00526179" w:rsidRDefault="006D45B8" w:rsidP="009C2F98">
      <w:pPr>
        <w:autoSpaceDE w:val="0"/>
        <w:autoSpaceDN w:val="0"/>
        <w:rPr>
          <w:color w:val="000000"/>
          <w:sz w:val="20"/>
          <w:szCs w:val="24"/>
        </w:rPr>
      </w:pPr>
      <w:r w:rsidRPr="00526179">
        <w:rPr>
          <w:color w:val="000000"/>
          <w:sz w:val="20"/>
          <w:szCs w:val="24"/>
        </w:rPr>
        <w:t xml:space="preserve">The Trustees of </w:t>
      </w:r>
      <w:r w:rsidRPr="00680F0B">
        <w:rPr>
          <w:color w:val="000000"/>
          <w:sz w:val="20"/>
          <w:szCs w:val="24"/>
        </w:rPr>
        <w:t xml:space="preserve">the Building Service </w:t>
      </w:r>
      <w:r w:rsidR="004071B5">
        <w:rPr>
          <w:color w:val="000000"/>
          <w:sz w:val="20"/>
          <w:szCs w:val="24"/>
        </w:rPr>
        <w:t xml:space="preserve">32BJ </w:t>
      </w:r>
      <w:r w:rsidRPr="00680F0B">
        <w:rPr>
          <w:color w:val="000000"/>
          <w:sz w:val="20"/>
          <w:szCs w:val="24"/>
        </w:rPr>
        <w:t xml:space="preserve">Pension Fund (hereinafter “Trustees”) are seeking a discretionary private equity </w:t>
      </w:r>
      <w:r w:rsidRPr="00680F0B">
        <w:rPr>
          <w:sz w:val="20"/>
          <w:szCs w:val="24"/>
        </w:rPr>
        <w:t>manager</w:t>
      </w:r>
      <w:r w:rsidRPr="00680F0B">
        <w:rPr>
          <w:color w:val="000000"/>
          <w:sz w:val="20"/>
          <w:szCs w:val="24"/>
        </w:rPr>
        <w:t xml:space="preserve"> </w:t>
      </w:r>
      <w:r w:rsidR="00680F0B" w:rsidRPr="00680F0B">
        <w:rPr>
          <w:color w:val="000000"/>
          <w:sz w:val="20"/>
          <w:szCs w:val="24"/>
        </w:rPr>
        <w:t>to commit approximately $50 million per year for an initial five</w:t>
      </w:r>
      <w:r w:rsidR="004071B5">
        <w:rPr>
          <w:color w:val="000000"/>
          <w:sz w:val="20"/>
          <w:szCs w:val="24"/>
        </w:rPr>
        <w:t>-</w:t>
      </w:r>
      <w:r w:rsidR="00680F0B" w:rsidRPr="00680F0B">
        <w:rPr>
          <w:color w:val="000000"/>
          <w:sz w:val="20"/>
          <w:szCs w:val="24"/>
        </w:rPr>
        <w:t xml:space="preserve">year period.  The manager should have </w:t>
      </w:r>
      <w:r w:rsidRPr="00680F0B">
        <w:rPr>
          <w:color w:val="000000"/>
          <w:sz w:val="20"/>
          <w:szCs w:val="24"/>
        </w:rPr>
        <w:t>substantial experience</w:t>
      </w:r>
      <w:r w:rsidR="00D97959" w:rsidRPr="00680F0B">
        <w:rPr>
          <w:color w:val="000000"/>
          <w:sz w:val="20"/>
          <w:szCs w:val="24"/>
        </w:rPr>
        <w:t xml:space="preserve"> </w:t>
      </w:r>
      <w:r w:rsidRPr="00680F0B">
        <w:rPr>
          <w:color w:val="000000"/>
          <w:sz w:val="20"/>
          <w:szCs w:val="24"/>
        </w:rPr>
        <w:t>managing bespoke portfolios of direct private equity mandates</w:t>
      </w:r>
      <w:r w:rsidR="00680F0B">
        <w:rPr>
          <w:color w:val="000000"/>
          <w:sz w:val="20"/>
          <w:szCs w:val="24"/>
        </w:rPr>
        <w:t xml:space="preserve"> and</w:t>
      </w:r>
      <w:r w:rsidRPr="00526179">
        <w:rPr>
          <w:color w:val="000000"/>
          <w:sz w:val="20"/>
          <w:szCs w:val="24"/>
        </w:rPr>
        <w:t xml:space="preserve"> co</w:t>
      </w:r>
      <w:r w:rsidRPr="00526179">
        <w:rPr>
          <w:color w:val="000000"/>
          <w:sz w:val="20"/>
          <w:szCs w:val="24"/>
        </w:rPr>
        <w:noBreakHyphen/>
        <w:t xml:space="preserve">investments, secondaries, or a combination thereof.  The Manager selected will work closely with </w:t>
      </w:r>
      <w:r w:rsidRPr="00526179">
        <w:rPr>
          <w:sz w:val="20"/>
          <w:szCs w:val="24"/>
        </w:rPr>
        <w:t>the General Consultant and</w:t>
      </w:r>
      <w:r w:rsidRPr="00526179">
        <w:rPr>
          <w:color w:val="000000"/>
          <w:sz w:val="20"/>
          <w:szCs w:val="24"/>
        </w:rPr>
        <w:t xml:space="preserve"> Staff and report regularly to Board of Trustees.  The Respondent shall serve in a fiduciary capacity and shall acknowledge in writing its fiduciary status, without qualification.  In all cases, the Respondent and its representatives shall offer advice that is solely in the interest of the members</w:t>
      </w:r>
      <w:bookmarkStart w:id="0" w:name="_GoBack"/>
      <w:bookmarkEnd w:id="0"/>
      <w:r w:rsidRPr="00526179">
        <w:rPr>
          <w:color w:val="000000"/>
          <w:sz w:val="20"/>
          <w:szCs w:val="24"/>
        </w:rPr>
        <w:t xml:space="preserve"> and beneficiaries of the Plan.</w:t>
      </w:r>
    </w:p>
    <w:p w14:paraId="0E1C1994" w14:textId="77777777" w:rsidR="006D45B8" w:rsidRPr="009C2F98" w:rsidRDefault="006D45B8" w:rsidP="009C2F98">
      <w:pPr>
        <w:autoSpaceDE w:val="0"/>
        <w:autoSpaceDN w:val="0"/>
        <w:spacing w:before="240" w:after="240"/>
        <w:jc w:val="center"/>
        <w:rPr>
          <w:b/>
          <w:color w:val="015E8F" w:themeColor="text2"/>
        </w:rPr>
      </w:pPr>
      <w:r w:rsidRPr="009C2F98">
        <w:rPr>
          <w:b/>
          <w:color w:val="015E8F" w:themeColor="text2"/>
        </w:rPr>
        <w:t>Proposal Submission</w:t>
      </w:r>
    </w:p>
    <w:p w14:paraId="670DF4F7" w14:textId="77777777" w:rsidR="006D45B8" w:rsidRPr="00526179" w:rsidRDefault="006D45B8" w:rsidP="006D45B8">
      <w:pPr>
        <w:autoSpaceDE w:val="0"/>
        <w:autoSpaceDN w:val="0"/>
        <w:spacing w:before="120"/>
        <w:rPr>
          <w:color w:val="000000"/>
          <w:sz w:val="20"/>
          <w:szCs w:val="24"/>
        </w:rPr>
      </w:pPr>
      <w:r w:rsidRPr="00526179">
        <w:rPr>
          <w:color w:val="000000"/>
          <w:sz w:val="20"/>
          <w:szCs w:val="24"/>
        </w:rPr>
        <w:t xml:space="preserve">If your firm is interested in submitting a proposal, please send via e-mail an electronic copy (not to exceed 10 mb) to Meketa Investment Group at </w:t>
      </w:r>
      <w:hyperlink r:id="rId8" w:history="1">
        <w:r w:rsidRPr="00526179">
          <w:rPr>
            <w:rStyle w:val="Hyperlink"/>
            <w:rFonts w:eastAsiaTheme="majorEastAsia"/>
            <w:sz w:val="20"/>
            <w:szCs w:val="24"/>
          </w:rPr>
          <w:t>rfpresponse@meketa.com</w:t>
        </w:r>
      </w:hyperlink>
      <w:r w:rsidRPr="00526179">
        <w:rPr>
          <w:color w:val="000000"/>
          <w:sz w:val="20"/>
          <w:szCs w:val="24"/>
        </w:rPr>
        <w:t xml:space="preserve"> with E-mail Subject:  Building Service Pension Fund Private Equity Search.</w:t>
      </w:r>
    </w:p>
    <w:p w14:paraId="1D7B9C65" w14:textId="4194B95C" w:rsidR="006D45B8" w:rsidRPr="00526179" w:rsidRDefault="006D45B8" w:rsidP="006D45B8">
      <w:pPr>
        <w:autoSpaceDE w:val="0"/>
        <w:autoSpaceDN w:val="0"/>
        <w:spacing w:before="120"/>
        <w:rPr>
          <w:color w:val="000000"/>
          <w:sz w:val="20"/>
          <w:szCs w:val="24"/>
        </w:rPr>
      </w:pPr>
      <w:r w:rsidRPr="00526179">
        <w:rPr>
          <w:color w:val="000000"/>
          <w:sz w:val="20"/>
          <w:szCs w:val="24"/>
        </w:rPr>
        <w:t>Proposals must be received prior to 1</w:t>
      </w:r>
      <w:r w:rsidR="00522DA9">
        <w:rPr>
          <w:color w:val="000000"/>
          <w:sz w:val="20"/>
          <w:szCs w:val="24"/>
        </w:rPr>
        <w:t>2</w:t>
      </w:r>
      <w:r w:rsidR="008A2673">
        <w:rPr>
          <w:color w:val="000000"/>
          <w:sz w:val="20"/>
          <w:szCs w:val="24"/>
        </w:rPr>
        <w:t xml:space="preserve">:00 PM Eastern Time on September </w:t>
      </w:r>
      <w:r w:rsidR="00A9511C">
        <w:rPr>
          <w:color w:val="000000"/>
          <w:sz w:val="20"/>
          <w:szCs w:val="24"/>
        </w:rPr>
        <w:t>27</w:t>
      </w:r>
      <w:r w:rsidRPr="004071B5">
        <w:rPr>
          <w:color w:val="000000"/>
          <w:sz w:val="20"/>
          <w:szCs w:val="24"/>
        </w:rPr>
        <w:t>, 2021.</w:t>
      </w:r>
    </w:p>
    <w:p w14:paraId="2A2BA16A" w14:textId="77777777" w:rsidR="006D45B8" w:rsidRPr="00526179" w:rsidRDefault="006D45B8" w:rsidP="006D45B8">
      <w:pPr>
        <w:autoSpaceDE w:val="0"/>
        <w:autoSpaceDN w:val="0"/>
        <w:spacing w:before="120"/>
        <w:rPr>
          <w:color w:val="000000"/>
          <w:sz w:val="20"/>
          <w:szCs w:val="24"/>
        </w:rPr>
      </w:pPr>
      <w:r w:rsidRPr="00526179">
        <w:rPr>
          <w:color w:val="000000"/>
          <w:sz w:val="20"/>
          <w:szCs w:val="24"/>
        </w:rPr>
        <w:t>Any questions pertaining to this Request for Proposal are to be emailed directly to:</w:t>
      </w:r>
    </w:p>
    <w:p w14:paraId="66DC275D" w14:textId="77777777" w:rsidR="006D45B8" w:rsidRPr="00526179" w:rsidRDefault="006D45B8" w:rsidP="006D45B8">
      <w:pPr>
        <w:autoSpaceDE w:val="0"/>
        <w:autoSpaceDN w:val="0"/>
        <w:spacing w:before="120"/>
        <w:rPr>
          <w:color w:val="000000"/>
          <w:sz w:val="20"/>
          <w:szCs w:val="24"/>
        </w:rPr>
      </w:pPr>
      <w:r w:rsidRPr="00526179">
        <w:rPr>
          <w:color w:val="000000"/>
          <w:sz w:val="20"/>
          <w:szCs w:val="24"/>
        </w:rPr>
        <w:t xml:space="preserve">                             Sabina Panthi and Danny Chan</w:t>
      </w:r>
    </w:p>
    <w:p w14:paraId="26DEFC0B" w14:textId="77777777" w:rsidR="006D45B8" w:rsidRPr="00526179" w:rsidRDefault="006D45B8" w:rsidP="006D45B8">
      <w:pPr>
        <w:autoSpaceDE w:val="0"/>
        <w:autoSpaceDN w:val="0"/>
        <w:spacing w:before="120"/>
        <w:rPr>
          <w:color w:val="000000"/>
          <w:sz w:val="20"/>
          <w:szCs w:val="24"/>
        </w:rPr>
      </w:pPr>
      <w:r w:rsidRPr="00526179">
        <w:rPr>
          <w:color w:val="000000"/>
          <w:sz w:val="20"/>
          <w:szCs w:val="24"/>
        </w:rPr>
        <w:t xml:space="preserve">                             </w:t>
      </w:r>
      <w:hyperlink r:id="rId9" w:history="1">
        <w:r w:rsidRPr="00526179">
          <w:rPr>
            <w:rStyle w:val="Hyperlink"/>
            <w:rFonts w:eastAsiaTheme="majorEastAsia"/>
            <w:sz w:val="20"/>
            <w:szCs w:val="24"/>
          </w:rPr>
          <w:t>spanthi@meketa.com</w:t>
        </w:r>
      </w:hyperlink>
      <w:r w:rsidRPr="00526179">
        <w:rPr>
          <w:color w:val="000000"/>
          <w:sz w:val="20"/>
          <w:szCs w:val="24"/>
        </w:rPr>
        <w:t xml:space="preserve"> and </w:t>
      </w:r>
      <w:hyperlink r:id="rId10" w:history="1">
        <w:r w:rsidRPr="00526179">
          <w:rPr>
            <w:rStyle w:val="Hyperlink"/>
            <w:rFonts w:eastAsiaTheme="majorEastAsia"/>
            <w:sz w:val="20"/>
            <w:szCs w:val="24"/>
          </w:rPr>
          <w:t>dchan@meketa.com</w:t>
        </w:r>
      </w:hyperlink>
    </w:p>
    <w:p w14:paraId="5A122ABE" w14:textId="2A652215" w:rsidR="00247B80" w:rsidRDefault="00247B80">
      <w:r>
        <w:br w:type="page"/>
      </w:r>
    </w:p>
    <w:p w14:paraId="26DBF74A" w14:textId="77777777" w:rsidR="00247B80" w:rsidRPr="00247B80" w:rsidRDefault="00247B80" w:rsidP="00247B80">
      <w:pPr>
        <w:autoSpaceDE w:val="0"/>
        <w:autoSpaceDN w:val="0"/>
        <w:spacing w:before="240"/>
        <w:jc w:val="center"/>
        <w:rPr>
          <w:b/>
          <w:bCs/>
          <w:color w:val="015E8F" w:themeColor="text2"/>
        </w:rPr>
      </w:pPr>
      <w:r w:rsidRPr="00247B80">
        <w:rPr>
          <w:b/>
          <w:bCs/>
          <w:color w:val="015E8F" w:themeColor="text2"/>
        </w:rPr>
        <w:lastRenderedPageBreak/>
        <w:t>SCOPE OF SERVICES</w:t>
      </w:r>
    </w:p>
    <w:p w14:paraId="5FAA9611" w14:textId="77777777" w:rsidR="00247B80" w:rsidRPr="00526179" w:rsidRDefault="00247B80" w:rsidP="00247B80">
      <w:pPr>
        <w:autoSpaceDE w:val="0"/>
        <w:autoSpaceDN w:val="0"/>
        <w:spacing w:before="240"/>
        <w:rPr>
          <w:color w:val="000000"/>
        </w:rPr>
      </w:pPr>
      <w:r w:rsidRPr="00526179">
        <w:t xml:space="preserve">The Trustees </w:t>
      </w:r>
      <w:r w:rsidRPr="00526179">
        <w:rPr>
          <w:color w:val="000000"/>
        </w:rPr>
        <w:t>expects any Respondent retained under this RFP to provide the following services, at a minimum:</w:t>
      </w:r>
    </w:p>
    <w:p w14:paraId="2E4BEF41" w14:textId="086B5624" w:rsidR="00247B80" w:rsidRPr="00242F27" w:rsidRDefault="00247B80" w:rsidP="00247B80">
      <w:pPr>
        <w:numPr>
          <w:ilvl w:val="0"/>
          <w:numId w:val="33"/>
        </w:numPr>
        <w:autoSpaceDE w:val="0"/>
        <w:autoSpaceDN w:val="0"/>
        <w:spacing w:before="240" w:line="276" w:lineRule="auto"/>
        <w:ind w:left="360"/>
        <w:rPr>
          <w:b/>
          <w:color w:val="015E8F"/>
          <w:u w:val="single"/>
        </w:rPr>
      </w:pPr>
      <w:r w:rsidRPr="00242F27">
        <w:rPr>
          <w:b/>
          <w:color w:val="015E8F"/>
          <w:u w:val="single"/>
        </w:rPr>
        <w:t>Discretionary Private Equity Services</w:t>
      </w:r>
      <w:r w:rsidR="00251904">
        <w:rPr>
          <w:b/>
          <w:color w:val="015E8F"/>
          <w:u w:val="single"/>
        </w:rPr>
        <w:t>.</w:t>
      </w:r>
    </w:p>
    <w:p w14:paraId="32266BBA" w14:textId="77777777" w:rsidR="00247B80" w:rsidRPr="00247B80" w:rsidRDefault="00247B80" w:rsidP="00247B80">
      <w:pPr>
        <w:pStyle w:val="B1"/>
        <w:numPr>
          <w:ilvl w:val="0"/>
          <w:numId w:val="36"/>
        </w:numPr>
        <w:rPr>
          <w:color w:val="auto"/>
          <w:sz w:val="22"/>
          <w:szCs w:val="22"/>
        </w:rPr>
      </w:pPr>
      <w:r w:rsidRPr="00247B80">
        <w:rPr>
          <w:color w:val="auto"/>
          <w:sz w:val="22"/>
          <w:szCs w:val="22"/>
        </w:rPr>
        <w:t>Assist the Trustees and General Consultant in the development of an appropriately structured private equity program, including the establishment of goals, strategies, objectives, and performance standards.</w:t>
      </w:r>
    </w:p>
    <w:p w14:paraId="06FF939E" w14:textId="77777777" w:rsidR="00247B80" w:rsidRPr="00247B80" w:rsidRDefault="00247B80" w:rsidP="00247B80">
      <w:pPr>
        <w:pStyle w:val="B1"/>
        <w:numPr>
          <w:ilvl w:val="0"/>
          <w:numId w:val="36"/>
        </w:numPr>
        <w:rPr>
          <w:color w:val="auto"/>
          <w:sz w:val="22"/>
          <w:szCs w:val="22"/>
        </w:rPr>
      </w:pPr>
      <w:r w:rsidRPr="00247B80">
        <w:rPr>
          <w:color w:val="auto"/>
          <w:sz w:val="22"/>
          <w:szCs w:val="22"/>
        </w:rPr>
        <w:t>Develop and/or review the Trustees’ private equity investment policies and guidelines on an ongoing basis and make recommendations for modifications as necessary.</w:t>
      </w:r>
    </w:p>
    <w:p w14:paraId="15CECE19" w14:textId="77777777" w:rsidR="00247B80" w:rsidRPr="00247B80" w:rsidRDefault="00247B80" w:rsidP="00247B80">
      <w:pPr>
        <w:pStyle w:val="B1"/>
        <w:numPr>
          <w:ilvl w:val="0"/>
          <w:numId w:val="36"/>
        </w:numPr>
        <w:rPr>
          <w:color w:val="auto"/>
          <w:sz w:val="22"/>
          <w:szCs w:val="22"/>
        </w:rPr>
      </w:pPr>
      <w:r w:rsidRPr="00247B80">
        <w:rPr>
          <w:color w:val="auto"/>
          <w:sz w:val="22"/>
          <w:szCs w:val="22"/>
        </w:rPr>
        <w:t>Diligence, select, and retain private equity investments for the Pension Fund.</w:t>
      </w:r>
    </w:p>
    <w:p w14:paraId="39C54350" w14:textId="1F890AA4" w:rsidR="00247B80" w:rsidRPr="00247B80" w:rsidRDefault="000D30B8" w:rsidP="00247B80">
      <w:pPr>
        <w:pStyle w:val="B1"/>
        <w:numPr>
          <w:ilvl w:val="0"/>
          <w:numId w:val="36"/>
        </w:numPr>
        <w:rPr>
          <w:color w:val="auto"/>
          <w:sz w:val="22"/>
          <w:szCs w:val="22"/>
        </w:rPr>
      </w:pPr>
      <w:r>
        <w:rPr>
          <w:color w:val="auto"/>
          <w:sz w:val="22"/>
          <w:szCs w:val="22"/>
        </w:rPr>
        <w:t>Select</w:t>
      </w:r>
      <w:r w:rsidR="00C036DA" w:rsidRPr="00247B80">
        <w:rPr>
          <w:color w:val="auto"/>
          <w:sz w:val="22"/>
          <w:szCs w:val="22"/>
        </w:rPr>
        <w:t xml:space="preserve"> private</w:t>
      </w:r>
      <w:r w:rsidR="00247B80" w:rsidRPr="00247B80">
        <w:rPr>
          <w:color w:val="auto"/>
          <w:sz w:val="22"/>
          <w:szCs w:val="22"/>
        </w:rPr>
        <w:t xml:space="preserve"> equity investment fund</w:t>
      </w:r>
      <w:r w:rsidR="00C036DA">
        <w:rPr>
          <w:color w:val="auto"/>
          <w:sz w:val="22"/>
          <w:szCs w:val="22"/>
        </w:rPr>
        <w:t xml:space="preserve"> investments</w:t>
      </w:r>
      <w:r w:rsidR="00247B80" w:rsidRPr="00247B80">
        <w:rPr>
          <w:color w:val="auto"/>
          <w:sz w:val="22"/>
          <w:szCs w:val="22"/>
        </w:rPr>
        <w:t xml:space="preserve"> </w:t>
      </w:r>
      <w:r w:rsidR="00C036DA">
        <w:rPr>
          <w:color w:val="auto"/>
          <w:sz w:val="22"/>
          <w:szCs w:val="22"/>
        </w:rPr>
        <w:t xml:space="preserve">and co-investments </w:t>
      </w:r>
      <w:r w:rsidR="00247B80" w:rsidRPr="00247B80">
        <w:rPr>
          <w:color w:val="auto"/>
          <w:sz w:val="22"/>
          <w:szCs w:val="22"/>
        </w:rPr>
        <w:t>in accordance with the Investment Policy Statement, other applicable policies of the Fund, and generally accepted industry standards and practices.</w:t>
      </w:r>
    </w:p>
    <w:p w14:paraId="5FB430AC" w14:textId="34DA58B5" w:rsidR="00247B80" w:rsidRPr="00247B80" w:rsidRDefault="00247B80" w:rsidP="00247B80">
      <w:pPr>
        <w:pStyle w:val="B1"/>
        <w:numPr>
          <w:ilvl w:val="0"/>
          <w:numId w:val="36"/>
        </w:numPr>
        <w:rPr>
          <w:color w:val="auto"/>
          <w:sz w:val="22"/>
          <w:szCs w:val="22"/>
        </w:rPr>
      </w:pPr>
      <w:r w:rsidRPr="00247B80">
        <w:rPr>
          <w:color w:val="auto"/>
          <w:sz w:val="22"/>
          <w:szCs w:val="22"/>
        </w:rPr>
        <w:t xml:space="preserve">Manage cash flows, capital </w:t>
      </w:r>
      <w:r w:rsidR="009C2F98" w:rsidRPr="00247B80">
        <w:rPr>
          <w:color w:val="auto"/>
          <w:sz w:val="22"/>
          <w:szCs w:val="22"/>
        </w:rPr>
        <w:t>calls,</w:t>
      </w:r>
      <w:r w:rsidRPr="00247B80">
        <w:rPr>
          <w:color w:val="auto"/>
          <w:sz w:val="22"/>
          <w:szCs w:val="22"/>
        </w:rPr>
        <w:t xml:space="preserve"> and distributions</w:t>
      </w:r>
      <w:r w:rsidR="009C2F98" w:rsidRPr="00247B80">
        <w:rPr>
          <w:color w:val="auto"/>
          <w:sz w:val="22"/>
          <w:szCs w:val="22"/>
        </w:rPr>
        <w:t xml:space="preserve">.  </w:t>
      </w:r>
      <w:r w:rsidRPr="00247B80">
        <w:rPr>
          <w:color w:val="auto"/>
          <w:sz w:val="22"/>
          <w:szCs w:val="22"/>
        </w:rPr>
        <w:t>(Also manage cash flows, etc. for an existing portfolio of about eight private equity fund of funds.)</w:t>
      </w:r>
    </w:p>
    <w:p w14:paraId="1EBC23CF" w14:textId="77777777" w:rsidR="00247B80" w:rsidRPr="00247B80" w:rsidRDefault="00247B80" w:rsidP="00247B80">
      <w:pPr>
        <w:pStyle w:val="B1"/>
        <w:numPr>
          <w:ilvl w:val="0"/>
          <w:numId w:val="36"/>
        </w:numPr>
        <w:rPr>
          <w:color w:val="auto"/>
          <w:sz w:val="22"/>
          <w:szCs w:val="22"/>
        </w:rPr>
      </w:pPr>
      <w:r w:rsidRPr="00247B80">
        <w:rPr>
          <w:color w:val="auto"/>
          <w:sz w:val="22"/>
          <w:szCs w:val="22"/>
        </w:rPr>
        <w:t>Conduct investment and operational due diligence on prospective funds.</w:t>
      </w:r>
    </w:p>
    <w:p w14:paraId="32B67033" w14:textId="77777777" w:rsidR="00247B80" w:rsidRPr="00247B80" w:rsidRDefault="00247B80" w:rsidP="00247B80">
      <w:pPr>
        <w:pStyle w:val="B1"/>
        <w:numPr>
          <w:ilvl w:val="0"/>
          <w:numId w:val="36"/>
        </w:numPr>
        <w:rPr>
          <w:color w:val="auto"/>
          <w:sz w:val="22"/>
          <w:szCs w:val="22"/>
        </w:rPr>
      </w:pPr>
      <w:r w:rsidRPr="00247B80">
        <w:rPr>
          <w:color w:val="auto"/>
          <w:sz w:val="22"/>
          <w:szCs w:val="22"/>
        </w:rPr>
        <w:t>Develop a pacing schedule for the private equity portfolio.</w:t>
      </w:r>
    </w:p>
    <w:p w14:paraId="1BFB309E" w14:textId="77777777" w:rsidR="00247B80" w:rsidRPr="00247B80" w:rsidRDefault="00247B80" w:rsidP="00247B80">
      <w:pPr>
        <w:pStyle w:val="B1"/>
        <w:numPr>
          <w:ilvl w:val="0"/>
          <w:numId w:val="36"/>
        </w:numPr>
        <w:rPr>
          <w:color w:val="auto"/>
          <w:sz w:val="22"/>
          <w:szCs w:val="22"/>
        </w:rPr>
      </w:pPr>
      <w:r w:rsidRPr="00247B80">
        <w:rPr>
          <w:color w:val="auto"/>
          <w:sz w:val="22"/>
          <w:szCs w:val="22"/>
        </w:rPr>
        <w:t>Prepare quarterly and annual performance reports for the private equity portfolio.</w:t>
      </w:r>
    </w:p>
    <w:p w14:paraId="05FEA0B4" w14:textId="1EB30E4A" w:rsidR="008F65D6" w:rsidRDefault="00247B80" w:rsidP="00247B80">
      <w:pPr>
        <w:pStyle w:val="ListParagraph"/>
        <w:numPr>
          <w:ilvl w:val="0"/>
          <w:numId w:val="36"/>
        </w:numPr>
        <w:spacing w:before="120"/>
      </w:pPr>
      <w:r w:rsidRPr="00247B80">
        <w:t>Produce written research on private equity market conditions and opportunities; conduct special projects or other activities as requested</w:t>
      </w:r>
      <w:r>
        <w:t>.</w:t>
      </w:r>
    </w:p>
    <w:p w14:paraId="359D54C1" w14:textId="77777777" w:rsidR="001027DF" w:rsidRPr="00526179" w:rsidRDefault="001027DF" w:rsidP="001027DF">
      <w:pPr>
        <w:pStyle w:val="B1"/>
        <w:numPr>
          <w:ilvl w:val="0"/>
          <w:numId w:val="36"/>
        </w:numPr>
        <w:rPr>
          <w:sz w:val="22"/>
          <w:szCs w:val="22"/>
        </w:rPr>
      </w:pPr>
      <w:r w:rsidRPr="00526179">
        <w:rPr>
          <w:sz w:val="22"/>
          <w:szCs w:val="22"/>
        </w:rPr>
        <w:t>Appear at Trustees, Committee, or other meetings as necessary to present performance, program updates, research, analyses, written reports, and recommendations, as well as respond to questions relating to the private equity program.</w:t>
      </w:r>
    </w:p>
    <w:p w14:paraId="6FC92E73" w14:textId="77777777" w:rsidR="001027DF" w:rsidRPr="00526179" w:rsidRDefault="001027DF" w:rsidP="001027DF">
      <w:pPr>
        <w:pStyle w:val="A1"/>
        <w:numPr>
          <w:ilvl w:val="0"/>
          <w:numId w:val="36"/>
        </w:numPr>
        <w:rPr>
          <w:color w:val="auto"/>
          <w:sz w:val="22"/>
          <w:szCs w:val="22"/>
        </w:rPr>
      </w:pPr>
      <w:r w:rsidRPr="00526179">
        <w:rPr>
          <w:color w:val="auto"/>
          <w:sz w:val="22"/>
          <w:szCs w:val="22"/>
        </w:rPr>
        <w:t xml:space="preserve">Coordinate and communicate with the broader organization including, though not limited to, its General Consultant, and Custodian, as appropriate to ensure effective administration of the private equity program. </w:t>
      </w:r>
    </w:p>
    <w:p w14:paraId="190CB5B6" w14:textId="48EDBEBF" w:rsidR="00E475C7" w:rsidRPr="00E475C7" w:rsidRDefault="004E253F" w:rsidP="00296FA8">
      <w:pPr>
        <w:pStyle w:val="Heading5"/>
      </w:pPr>
      <w:r>
        <w:br w:type="page"/>
      </w:r>
    </w:p>
    <w:p w14:paraId="6B9ED037" w14:textId="35144786" w:rsidR="001027DF" w:rsidRPr="00242F27" w:rsidRDefault="001027DF" w:rsidP="001027DF">
      <w:pPr>
        <w:numPr>
          <w:ilvl w:val="0"/>
          <w:numId w:val="33"/>
        </w:numPr>
        <w:autoSpaceDE w:val="0"/>
        <w:autoSpaceDN w:val="0"/>
        <w:spacing w:before="240" w:line="276" w:lineRule="auto"/>
        <w:ind w:left="360"/>
        <w:rPr>
          <w:b/>
          <w:color w:val="015E8F"/>
        </w:rPr>
      </w:pPr>
      <w:r w:rsidRPr="00242F27">
        <w:rPr>
          <w:b/>
          <w:color w:val="015E8F"/>
          <w:u w:val="single"/>
        </w:rPr>
        <w:lastRenderedPageBreak/>
        <w:t>Investment Sourcing and Selection</w:t>
      </w:r>
      <w:r w:rsidR="00251904">
        <w:rPr>
          <w:b/>
          <w:color w:val="015E8F"/>
          <w:u w:val="single"/>
        </w:rPr>
        <w:t>.</w:t>
      </w:r>
    </w:p>
    <w:p w14:paraId="46A6ACC4" w14:textId="53971D78" w:rsidR="001027DF" w:rsidRPr="00526179" w:rsidRDefault="001027DF" w:rsidP="005F6078">
      <w:pPr>
        <w:pStyle w:val="B1"/>
        <w:numPr>
          <w:ilvl w:val="0"/>
          <w:numId w:val="43"/>
        </w:numPr>
        <w:ind w:left="720"/>
        <w:rPr>
          <w:color w:val="auto"/>
          <w:sz w:val="22"/>
          <w:szCs w:val="22"/>
        </w:rPr>
      </w:pPr>
      <w:r w:rsidRPr="00526179">
        <w:rPr>
          <w:color w:val="auto"/>
          <w:sz w:val="22"/>
          <w:szCs w:val="22"/>
        </w:rPr>
        <w:t>Develop a proactive, structured process to (i) screen the global universe of available private equity investments (i.e., U.S. and Non-U.S. opportunities) and (ii) identify those investments most appropriate for Fund portfolio</w:t>
      </w:r>
      <w:r w:rsidR="009C2F98" w:rsidRPr="00526179">
        <w:rPr>
          <w:color w:val="auto"/>
          <w:sz w:val="22"/>
          <w:szCs w:val="22"/>
        </w:rPr>
        <w:t xml:space="preserve">.  </w:t>
      </w:r>
      <w:r w:rsidRPr="00526179">
        <w:rPr>
          <w:color w:val="auto"/>
          <w:sz w:val="22"/>
          <w:szCs w:val="22"/>
        </w:rPr>
        <w:t>Provide at minimum monthly reports to Staff summarizing screening activity and the investment pipeline.</w:t>
      </w:r>
    </w:p>
    <w:p w14:paraId="033EAC81" w14:textId="77777777" w:rsidR="001027DF" w:rsidRPr="00526179" w:rsidRDefault="001027DF" w:rsidP="005F6078">
      <w:pPr>
        <w:pStyle w:val="B1"/>
        <w:numPr>
          <w:ilvl w:val="0"/>
          <w:numId w:val="43"/>
        </w:numPr>
        <w:ind w:left="720"/>
        <w:rPr>
          <w:color w:val="auto"/>
          <w:sz w:val="22"/>
          <w:szCs w:val="22"/>
        </w:rPr>
      </w:pPr>
      <w:bookmarkStart w:id="1" w:name="_Hlk8306100"/>
      <w:r w:rsidRPr="00526179">
        <w:rPr>
          <w:color w:val="auto"/>
          <w:sz w:val="22"/>
          <w:szCs w:val="22"/>
        </w:rPr>
        <w:t>Evaluate prospective investments and if appropriate, engage in comprehensive due diligence.  The due diligence may include evaluation of the prospective investment’s history, team, performance, and strategy, as well as general partner site visits, background checks, and reference checks.</w:t>
      </w:r>
    </w:p>
    <w:bookmarkEnd w:id="1"/>
    <w:p w14:paraId="166C876A" w14:textId="77777777" w:rsidR="001027DF" w:rsidRPr="00526179" w:rsidRDefault="001027DF" w:rsidP="005F6078">
      <w:pPr>
        <w:pStyle w:val="B1"/>
        <w:numPr>
          <w:ilvl w:val="0"/>
          <w:numId w:val="43"/>
        </w:numPr>
        <w:ind w:left="720"/>
        <w:rPr>
          <w:color w:val="auto"/>
          <w:sz w:val="22"/>
          <w:szCs w:val="22"/>
        </w:rPr>
      </w:pPr>
      <w:r w:rsidRPr="00526179">
        <w:rPr>
          <w:color w:val="auto"/>
          <w:sz w:val="22"/>
          <w:szCs w:val="22"/>
        </w:rPr>
        <w:t>Present reports summarizing all investment activity including new commitments, performance of existing commitments, the investment pipeline, strategic planning / positioning, manager reviews, matters relating to existing managers, and other information as requested by Staff.</w:t>
      </w:r>
    </w:p>
    <w:p w14:paraId="5C93A9FA" w14:textId="77777777" w:rsidR="001027DF" w:rsidRPr="00526179" w:rsidRDefault="001027DF" w:rsidP="005F6078">
      <w:pPr>
        <w:pStyle w:val="B1"/>
        <w:numPr>
          <w:ilvl w:val="0"/>
          <w:numId w:val="43"/>
        </w:numPr>
        <w:ind w:left="720"/>
        <w:rPr>
          <w:color w:val="auto"/>
          <w:sz w:val="22"/>
          <w:szCs w:val="22"/>
        </w:rPr>
      </w:pPr>
      <w:r w:rsidRPr="00526179">
        <w:rPr>
          <w:color w:val="auto"/>
          <w:sz w:val="22"/>
          <w:szCs w:val="22"/>
        </w:rPr>
        <w:t>Negotiate relevant contracts and legal documents in the best interests of the Pension Fund including, but not limited to, limited partnership agreements, side letters, and subscription agreements.</w:t>
      </w:r>
    </w:p>
    <w:p w14:paraId="27ECBCB4" w14:textId="00B676D5" w:rsidR="001027DF" w:rsidRPr="00242F27" w:rsidRDefault="001027DF" w:rsidP="001027DF">
      <w:pPr>
        <w:numPr>
          <w:ilvl w:val="0"/>
          <w:numId w:val="33"/>
        </w:numPr>
        <w:autoSpaceDE w:val="0"/>
        <w:autoSpaceDN w:val="0"/>
        <w:spacing w:before="240" w:line="276" w:lineRule="auto"/>
        <w:ind w:left="360"/>
        <w:rPr>
          <w:b/>
          <w:color w:val="015E8F"/>
        </w:rPr>
      </w:pPr>
      <w:r w:rsidRPr="00242F27">
        <w:rPr>
          <w:b/>
          <w:color w:val="015E8F"/>
          <w:u w:val="single"/>
        </w:rPr>
        <w:t>Monitoring of the Private Equity Portfolio</w:t>
      </w:r>
      <w:r w:rsidR="00251904">
        <w:rPr>
          <w:b/>
          <w:color w:val="015E8F"/>
          <w:u w:val="single"/>
        </w:rPr>
        <w:t>.</w:t>
      </w:r>
    </w:p>
    <w:p w14:paraId="401019E9" w14:textId="77777777" w:rsidR="001027DF" w:rsidRPr="00526179" w:rsidRDefault="001027DF" w:rsidP="00B0106B">
      <w:pPr>
        <w:pStyle w:val="B1"/>
        <w:numPr>
          <w:ilvl w:val="0"/>
          <w:numId w:val="44"/>
        </w:numPr>
      </w:pPr>
      <w:r w:rsidRPr="00B0106B">
        <w:rPr>
          <w:sz w:val="22"/>
          <w:szCs w:val="22"/>
        </w:rPr>
        <w:t>Provide on-going investment monitoring that may include attending annual meetings, serving on advisory Trustees, analyzing policy and peer benchmarks, and conducting manager meetings</w:t>
      </w:r>
      <w:r w:rsidRPr="00526179">
        <w:t>.</w:t>
      </w:r>
    </w:p>
    <w:p w14:paraId="44BED54A" w14:textId="77777777" w:rsidR="001027DF" w:rsidRPr="00526179" w:rsidRDefault="001027DF" w:rsidP="00B0106B">
      <w:pPr>
        <w:pStyle w:val="B1"/>
        <w:numPr>
          <w:ilvl w:val="0"/>
          <w:numId w:val="44"/>
        </w:numPr>
        <w:rPr>
          <w:color w:val="auto"/>
          <w:sz w:val="22"/>
          <w:szCs w:val="22"/>
        </w:rPr>
      </w:pPr>
      <w:r w:rsidRPr="00526179">
        <w:rPr>
          <w:color w:val="auto"/>
          <w:sz w:val="22"/>
          <w:szCs w:val="22"/>
        </w:rPr>
        <w:t>Provide regular updates and assessments of relevant operational and/or strategic changes with investment managers including, but not limited to, performance, organization, ownership, investment products, and disclosure issues.</w:t>
      </w:r>
    </w:p>
    <w:p w14:paraId="680942F5" w14:textId="77777777" w:rsidR="001027DF" w:rsidRPr="00526179" w:rsidRDefault="001027DF" w:rsidP="00B0106B">
      <w:pPr>
        <w:pStyle w:val="B1"/>
        <w:numPr>
          <w:ilvl w:val="0"/>
          <w:numId w:val="44"/>
        </w:numPr>
        <w:rPr>
          <w:color w:val="auto"/>
          <w:sz w:val="22"/>
          <w:szCs w:val="22"/>
        </w:rPr>
      </w:pPr>
      <w:r w:rsidRPr="00526179">
        <w:rPr>
          <w:color w:val="auto"/>
          <w:sz w:val="22"/>
          <w:szCs w:val="22"/>
        </w:rPr>
        <w:t>Ensure that investment managers comply with the terms of their contracts.</w:t>
      </w:r>
    </w:p>
    <w:p w14:paraId="465AB15B" w14:textId="77777777" w:rsidR="001027DF" w:rsidRPr="00526179" w:rsidRDefault="001027DF" w:rsidP="00B0106B">
      <w:pPr>
        <w:pStyle w:val="B1"/>
        <w:numPr>
          <w:ilvl w:val="0"/>
          <w:numId w:val="44"/>
        </w:numPr>
        <w:rPr>
          <w:color w:val="auto"/>
          <w:sz w:val="22"/>
          <w:szCs w:val="22"/>
        </w:rPr>
      </w:pPr>
      <w:r w:rsidRPr="00526179">
        <w:rPr>
          <w:color w:val="auto"/>
          <w:sz w:val="22"/>
          <w:szCs w:val="22"/>
        </w:rPr>
        <w:t>Execute all fund document amendments, consents, and extensions on behalf of the Pension Fund.</w:t>
      </w:r>
    </w:p>
    <w:p w14:paraId="2052CFAB" w14:textId="77777777" w:rsidR="001027DF" w:rsidRDefault="001027DF" w:rsidP="00B0106B">
      <w:pPr>
        <w:pStyle w:val="B1"/>
        <w:numPr>
          <w:ilvl w:val="0"/>
          <w:numId w:val="44"/>
        </w:numPr>
        <w:rPr>
          <w:color w:val="auto"/>
          <w:sz w:val="22"/>
          <w:szCs w:val="22"/>
        </w:rPr>
      </w:pPr>
      <w:r w:rsidRPr="00526179">
        <w:rPr>
          <w:color w:val="auto"/>
          <w:sz w:val="22"/>
          <w:szCs w:val="22"/>
        </w:rPr>
        <w:t>Inform Staff of any breaches or violations of limited partnership provisions, side letter provisions, and fund dissolutions as may arise.</w:t>
      </w:r>
    </w:p>
    <w:p w14:paraId="14A9BE61" w14:textId="77777777" w:rsidR="001027DF" w:rsidRPr="00526179" w:rsidRDefault="001027DF" w:rsidP="00B0106B">
      <w:pPr>
        <w:pStyle w:val="B1"/>
        <w:numPr>
          <w:ilvl w:val="0"/>
          <w:numId w:val="44"/>
        </w:numPr>
        <w:rPr>
          <w:color w:val="auto"/>
          <w:sz w:val="22"/>
          <w:szCs w:val="22"/>
        </w:rPr>
      </w:pPr>
      <w:r w:rsidRPr="00526179">
        <w:rPr>
          <w:color w:val="auto"/>
          <w:sz w:val="22"/>
          <w:szCs w:val="22"/>
        </w:rPr>
        <w:t>Perform any actions to protect the interests of Fund as an investor, and interact, where necessary, with portfolio general partners to ensure individual fund compliance with contract terms.</w:t>
      </w:r>
    </w:p>
    <w:p w14:paraId="17A3C828" w14:textId="77777777" w:rsidR="00E475C7" w:rsidRDefault="00E475C7">
      <w:r>
        <w:br w:type="page"/>
      </w:r>
    </w:p>
    <w:p w14:paraId="26AD2C93" w14:textId="787F3126" w:rsidR="001027DF" w:rsidRPr="00242F27" w:rsidRDefault="001027DF" w:rsidP="001027DF">
      <w:pPr>
        <w:numPr>
          <w:ilvl w:val="0"/>
          <w:numId w:val="33"/>
        </w:numPr>
        <w:tabs>
          <w:tab w:val="clear" w:pos="720"/>
          <w:tab w:val="num" w:pos="900"/>
        </w:tabs>
        <w:autoSpaceDE w:val="0"/>
        <w:autoSpaceDN w:val="0"/>
        <w:spacing w:before="240" w:line="276" w:lineRule="auto"/>
        <w:ind w:left="360"/>
        <w:rPr>
          <w:b/>
          <w:color w:val="015E8F"/>
        </w:rPr>
      </w:pPr>
      <w:r w:rsidRPr="00242F27">
        <w:rPr>
          <w:b/>
          <w:color w:val="015E8F"/>
          <w:u w:val="single"/>
        </w:rPr>
        <w:lastRenderedPageBreak/>
        <w:t>Database Management</w:t>
      </w:r>
      <w:r w:rsidR="00251904">
        <w:rPr>
          <w:b/>
          <w:color w:val="015E8F"/>
          <w:u w:val="single"/>
        </w:rPr>
        <w:t>.</w:t>
      </w:r>
    </w:p>
    <w:p w14:paraId="5C93CF4E" w14:textId="77777777" w:rsidR="001027DF" w:rsidRPr="00526179" w:rsidRDefault="001027DF" w:rsidP="001027DF">
      <w:pPr>
        <w:autoSpaceDE w:val="0"/>
        <w:autoSpaceDN w:val="0"/>
        <w:spacing w:before="120" w:line="276" w:lineRule="auto"/>
        <w:ind w:left="288"/>
      </w:pPr>
      <w:r w:rsidRPr="00526179">
        <w:t>The Manager will develop and maintain a database, management of which will include, at a minimum, the following:</w:t>
      </w:r>
    </w:p>
    <w:p w14:paraId="2D84BD40" w14:textId="77777777" w:rsidR="001027DF" w:rsidRPr="00526179" w:rsidRDefault="001027DF" w:rsidP="001027DF">
      <w:pPr>
        <w:pStyle w:val="B1"/>
        <w:numPr>
          <w:ilvl w:val="0"/>
          <w:numId w:val="39"/>
        </w:numPr>
        <w:rPr>
          <w:color w:val="auto"/>
          <w:sz w:val="22"/>
          <w:szCs w:val="22"/>
        </w:rPr>
      </w:pPr>
      <w:r w:rsidRPr="00526179">
        <w:rPr>
          <w:color w:val="auto"/>
          <w:sz w:val="22"/>
          <w:szCs w:val="22"/>
        </w:rPr>
        <w:t>Maintain information on portfolio exposure to vintage years, sub-asset classes (i.e., buyout, venture capital, special situations, etc.), geographic regions, and industries.</w:t>
      </w:r>
    </w:p>
    <w:p w14:paraId="585D18E4" w14:textId="77777777" w:rsidR="001027DF" w:rsidRPr="00526179" w:rsidRDefault="001027DF" w:rsidP="001027DF">
      <w:pPr>
        <w:pStyle w:val="B1"/>
        <w:numPr>
          <w:ilvl w:val="0"/>
          <w:numId w:val="39"/>
        </w:numPr>
        <w:rPr>
          <w:color w:val="auto"/>
          <w:sz w:val="22"/>
          <w:szCs w:val="22"/>
        </w:rPr>
      </w:pPr>
      <w:r w:rsidRPr="00526179">
        <w:rPr>
          <w:color w:val="auto"/>
          <w:sz w:val="22"/>
          <w:szCs w:val="22"/>
        </w:rPr>
        <w:t>Maintain information by portfolio type (i.e., core private equity portfolio, specialized portfolio, and aggregate portfolio).</w:t>
      </w:r>
    </w:p>
    <w:p w14:paraId="0690B81A" w14:textId="77777777" w:rsidR="001027DF" w:rsidRPr="00526179" w:rsidRDefault="001027DF" w:rsidP="001027DF">
      <w:pPr>
        <w:pStyle w:val="B1"/>
        <w:numPr>
          <w:ilvl w:val="0"/>
          <w:numId w:val="39"/>
        </w:numPr>
        <w:rPr>
          <w:color w:val="auto"/>
          <w:sz w:val="22"/>
          <w:szCs w:val="22"/>
        </w:rPr>
      </w:pPr>
      <w:r w:rsidRPr="00526179">
        <w:rPr>
          <w:color w:val="auto"/>
          <w:sz w:val="22"/>
          <w:szCs w:val="22"/>
        </w:rPr>
        <w:t>Maintain historical information on all cash flow, net asset values, commitments (total, funded, and unfunded), fee payments, cost basis, and returns on each investment.</w:t>
      </w:r>
    </w:p>
    <w:p w14:paraId="78F365AE" w14:textId="77777777" w:rsidR="001027DF" w:rsidRPr="00526179" w:rsidRDefault="001027DF" w:rsidP="001027DF">
      <w:pPr>
        <w:pStyle w:val="B1"/>
        <w:numPr>
          <w:ilvl w:val="0"/>
          <w:numId w:val="39"/>
        </w:numPr>
        <w:rPr>
          <w:color w:val="auto"/>
          <w:sz w:val="22"/>
          <w:szCs w:val="22"/>
        </w:rPr>
      </w:pPr>
      <w:r w:rsidRPr="00526179">
        <w:rPr>
          <w:color w:val="auto"/>
          <w:sz w:val="22"/>
          <w:szCs w:val="22"/>
        </w:rPr>
        <w:t>Calculate performance metrics including IRR and multiple calculations measured against performance benchmarks.</w:t>
      </w:r>
    </w:p>
    <w:p w14:paraId="2C90B2CE" w14:textId="77777777" w:rsidR="001027DF" w:rsidRPr="00526179" w:rsidRDefault="001027DF" w:rsidP="001027DF">
      <w:pPr>
        <w:pStyle w:val="B1"/>
        <w:numPr>
          <w:ilvl w:val="0"/>
          <w:numId w:val="39"/>
        </w:numPr>
        <w:rPr>
          <w:color w:val="auto"/>
          <w:sz w:val="22"/>
          <w:szCs w:val="22"/>
        </w:rPr>
      </w:pPr>
      <w:r w:rsidRPr="00526179">
        <w:rPr>
          <w:color w:val="auto"/>
          <w:sz w:val="22"/>
          <w:szCs w:val="22"/>
        </w:rPr>
        <w:t>Provide ability to review cash flows and performance data by individual investment, sector, sub-asset class, and portfolio type over quarterly periods.</w:t>
      </w:r>
    </w:p>
    <w:p w14:paraId="34115961" w14:textId="27146DD8" w:rsidR="001027DF" w:rsidRPr="00242F27" w:rsidRDefault="000A3ADA" w:rsidP="001027DF">
      <w:pPr>
        <w:numPr>
          <w:ilvl w:val="0"/>
          <w:numId w:val="33"/>
        </w:numPr>
        <w:tabs>
          <w:tab w:val="clear" w:pos="720"/>
          <w:tab w:val="num" w:pos="900"/>
        </w:tabs>
        <w:autoSpaceDE w:val="0"/>
        <w:autoSpaceDN w:val="0"/>
        <w:spacing w:before="240" w:line="276" w:lineRule="auto"/>
        <w:ind w:left="360"/>
        <w:rPr>
          <w:b/>
          <w:color w:val="015E8F"/>
        </w:rPr>
      </w:pPr>
      <w:r w:rsidRPr="00242F27">
        <w:rPr>
          <w:b/>
          <w:color w:val="015E8F"/>
          <w:sz w:val="20"/>
          <w:szCs w:val="20"/>
        </w:rPr>
        <w:t>.</w:t>
      </w:r>
      <w:r w:rsidR="001027DF" w:rsidRPr="00242F27">
        <w:rPr>
          <w:b/>
          <w:color w:val="015E8F"/>
          <w:u w:val="single"/>
        </w:rPr>
        <w:t xml:space="preserve"> Reporting Requirements</w:t>
      </w:r>
      <w:r w:rsidR="00251904">
        <w:rPr>
          <w:b/>
          <w:color w:val="015E8F"/>
          <w:u w:val="single"/>
        </w:rPr>
        <w:t>.</w:t>
      </w:r>
    </w:p>
    <w:p w14:paraId="189EAD71" w14:textId="77777777" w:rsidR="001027DF" w:rsidRPr="00526179" w:rsidRDefault="001027DF" w:rsidP="001027DF">
      <w:pPr>
        <w:pStyle w:val="B1"/>
        <w:numPr>
          <w:ilvl w:val="0"/>
          <w:numId w:val="40"/>
        </w:numPr>
        <w:rPr>
          <w:color w:val="auto"/>
          <w:sz w:val="22"/>
          <w:szCs w:val="22"/>
        </w:rPr>
      </w:pPr>
      <w:r w:rsidRPr="00526179">
        <w:rPr>
          <w:color w:val="auto"/>
          <w:sz w:val="22"/>
          <w:szCs w:val="22"/>
        </w:rPr>
        <w:t>Quarterly performance reporting, which will include, at a minimum:</w:t>
      </w:r>
    </w:p>
    <w:p w14:paraId="1A707B4E" w14:textId="77777777" w:rsidR="001027DF" w:rsidRPr="00526179" w:rsidRDefault="001027DF" w:rsidP="001027DF">
      <w:pPr>
        <w:numPr>
          <w:ilvl w:val="1"/>
          <w:numId w:val="40"/>
        </w:numPr>
        <w:autoSpaceDE w:val="0"/>
        <w:autoSpaceDN w:val="0"/>
        <w:spacing w:before="120" w:line="276" w:lineRule="auto"/>
      </w:pPr>
      <w:r w:rsidRPr="00526179">
        <w:t>  Allocation breakdown by geography, strategy, and industry;</w:t>
      </w:r>
    </w:p>
    <w:p w14:paraId="68371C1A" w14:textId="27D02EE0" w:rsidR="001027DF" w:rsidRPr="00526179" w:rsidRDefault="001027DF" w:rsidP="001027DF">
      <w:pPr>
        <w:numPr>
          <w:ilvl w:val="1"/>
          <w:numId w:val="40"/>
        </w:numPr>
        <w:autoSpaceDE w:val="0"/>
        <w:autoSpaceDN w:val="0"/>
        <w:spacing w:before="120" w:line="276" w:lineRule="auto"/>
      </w:pPr>
      <w:r w:rsidRPr="00526179">
        <w:t>  Update on each fund</w:t>
      </w:r>
      <w:r w:rsidR="000D30B8">
        <w:t xml:space="preserve"> and / or co-investment</w:t>
      </w:r>
      <w:r w:rsidRPr="00526179">
        <w:t>;</w:t>
      </w:r>
    </w:p>
    <w:p w14:paraId="253DF733" w14:textId="00E84CCA" w:rsidR="001027DF" w:rsidRPr="00526179" w:rsidRDefault="001027DF" w:rsidP="001027DF">
      <w:pPr>
        <w:numPr>
          <w:ilvl w:val="1"/>
          <w:numId w:val="40"/>
        </w:numPr>
        <w:autoSpaceDE w:val="0"/>
        <w:autoSpaceDN w:val="0"/>
        <w:spacing w:before="120" w:line="276" w:lineRule="auto"/>
      </w:pPr>
      <w:r w:rsidRPr="00526179">
        <w:t>  Listing of each investment fund</w:t>
      </w:r>
      <w:r w:rsidR="000D30B8">
        <w:t xml:space="preserve"> and / or co-investment</w:t>
      </w:r>
      <w:r w:rsidRPr="00526179">
        <w:t xml:space="preserve"> by strategy;</w:t>
      </w:r>
    </w:p>
    <w:p w14:paraId="55412CA1" w14:textId="5F087A7A" w:rsidR="001027DF" w:rsidRPr="00526179" w:rsidRDefault="001027DF" w:rsidP="001027DF">
      <w:pPr>
        <w:numPr>
          <w:ilvl w:val="1"/>
          <w:numId w:val="40"/>
        </w:numPr>
        <w:autoSpaceDE w:val="0"/>
        <w:autoSpaceDN w:val="0"/>
        <w:spacing w:before="120" w:line="276" w:lineRule="auto"/>
      </w:pPr>
      <w:r w:rsidRPr="00526179">
        <w:t>  Date of commitment to each fund</w:t>
      </w:r>
      <w:r w:rsidR="000D30B8">
        <w:t xml:space="preserve"> and / or co-investment</w:t>
      </w:r>
      <w:r w:rsidRPr="00526179">
        <w:t>;</w:t>
      </w:r>
    </w:p>
    <w:p w14:paraId="4059F2CE" w14:textId="722CAC1A" w:rsidR="001027DF" w:rsidRPr="00526179" w:rsidRDefault="001027DF" w:rsidP="001027DF">
      <w:pPr>
        <w:numPr>
          <w:ilvl w:val="1"/>
          <w:numId w:val="40"/>
        </w:numPr>
        <w:autoSpaceDE w:val="0"/>
        <w:autoSpaceDN w:val="0"/>
        <w:spacing w:before="120" w:line="276" w:lineRule="auto"/>
      </w:pPr>
      <w:r w:rsidRPr="00526179">
        <w:t>  Commitment amount to fund</w:t>
      </w:r>
      <w:r w:rsidR="000D30B8">
        <w:t xml:space="preserve"> and / or co-investment</w:t>
      </w:r>
      <w:r w:rsidRPr="00526179">
        <w:t>;</w:t>
      </w:r>
    </w:p>
    <w:p w14:paraId="55C4AC44" w14:textId="430920FB" w:rsidR="001027DF" w:rsidRPr="00526179" w:rsidRDefault="001027DF" w:rsidP="001027DF">
      <w:pPr>
        <w:numPr>
          <w:ilvl w:val="1"/>
          <w:numId w:val="40"/>
        </w:numPr>
        <w:autoSpaceDE w:val="0"/>
        <w:autoSpaceDN w:val="0"/>
        <w:spacing w:before="120" w:line="276" w:lineRule="auto"/>
      </w:pPr>
      <w:r w:rsidRPr="00526179">
        <w:t>  Drawdown amounts by fund</w:t>
      </w:r>
      <w:r w:rsidR="000D30B8">
        <w:t xml:space="preserve"> and / or co-investment</w:t>
      </w:r>
      <w:r w:rsidRPr="00526179">
        <w:t>;</w:t>
      </w:r>
    </w:p>
    <w:p w14:paraId="751187F6" w14:textId="10B3FAFD" w:rsidR="001027DF" w:rsidRPr="00526179" w:rsidRDefault="001027DF" w:rsidP="001027DF">
      <w:pPr>
        <w:numPr>
          <w:ilvl w:val="1"/>
          <w:numId w:val="40"/>
        </w:numPr>
        <w:autoSpaceDE w:val="0"/>
        <w:autoSpaceDN w:val="0"/>
        <w:spacing w:before="120" w:line="276" w:lineRule="auto"/>
      </w:pPr>
      <w:r w:rsidRPr="00526179">
        <w:t>  Outstanding commitments by fund</w:t>
      </w:r>
      <w:r w:rsidR="000D30B8">
        <w:t xml:space="preserve"> and / or co-investment</w:t>
      </w:r>
      <w:r w:rsidRPr="00526179">
        <w:t>;</w:t>
      </w:r>
    </w:p>
    <w:p w14:paraId="3C99F1B6" w14:textId="4C84690D" w:rsidR="001027DF" w:rsidRPr="00526179" w:rsidRDefault="001027DF" w:rsidP="001027DF">
      <w:pPr>
        <w:numPr>
          <w:ilvl w:val="1"/>
          <w:numId w:val="40"/>
        </w:numPr>
        <w:autoSpaceDE w:val="0"/>
        <w:autoSpaceDN w:val="0"/>
        <w:spacing w:before="120" w:line="276" w:lineRule="auto"/>
      </w:pPr>
      <w:r w:rsidRPr="00526179">
        <w:t>  Distribution amounts by fund</w:t>
      </w:r>
      <w:r w:rsidR="000D30B8">
        <w:t xml:space="preserve"> and / or co-investment</w:t>
      </w:r>
      <w:r w:rsidRPr="00526179">
        <w:t>;</w:t>
      </w:r>
    </w:p>
    <w:p w14:paraId="78DAAB01" w14:textId="68E34932" w:rsidR="001027DF" w:rsidRPr="00526179" w:rsidRDefault="001027DF" w:rsidP="001027DF">
      <w:pPr>
        <w:numPr>
          <w:ilvl w:val="1"/>
          <w:numId w:val="40"/>
        </w:numPr>
        <w:autoSpaceDE w:val="0"/>
        <w:autoSpaceDN w:val="0"/>
        <w:spacing w:before="120" w:line="276" w:lineRule="auto"/>
      </w:pPr>
      <w:r w:rsidRPr="00526179">
        <w:t>  Fund</w:t>
      </w:r>
      <w:r w:rsidR="000D30B8">
        <w:t xml:space="preserve"> and / or co-investment</w:t>
      </w:r>
      <w:r w:rsidRPr="00526179">
        <w:t xml:space="preserve"> net asset values;</w:t>
      </w:r>
    </w:p>
    <w:p w14:paraId="77DF4809" w14:textId="462BDCBC" w:rsidR="001027DF" w:rsidRPr="00526179" w:rsidRDefault="001027DF" w:rsidP="005F6078">
      <w:pPr>
        <w:numPr>
          <w:ilvl w:val="1"/>
          <w:numId w:val="40"/>
        </w:numPr>
        <w:autoSpaceDE w:val="0"/>
        <w:autoSpaceDN w:val="0"/>
        <w:spacing w:before="120" w:line="276" w:lineRule="auto"/>
        <w:ind w:right="360"/>
      </w:pPr>
      <w:r w:rsidRPr="00526179">
        <w:t>  IRR and Multiples of each fund</w:t>
      </w:r>
      <w:r w:rsidR="000D30B8">
        <w:t xml:space="preserve"> and / or co-investment</w:t>
      </w:r>
      <w:r w:rsidRPr="00526179">
        <w:t>;</w:t>
      </w:r>
    </w:p>
    <w:p w14:paraId="4BDB7914" w14:textId="28696224" w:rsidR="001027DF" w:rsidRPr="00526179" w:rsidRDefault="00800FB4" w:rsidP="005F6078">
      <w:pPr>
        <w:numPr>
          <w:ilvl w:val="1"/>
          <w:numId w:val="40"/>
        </w:numPr>
        <w:autoSpaceDE w:val="0"/>
        <w:autoSpaceDN w:val="0"/>
        <w:spacing w:before="120" w:line="276" w:lineRule="auto"/>
        <w:ind w:right="360"/>
      </w:pPr>
      <w:r>
        <w:t xml:space="preserve">  Items a – 1 </w:t>
      </w:r>
      <w:r w:rsidR="001027DF" w:rsidRPr="00526179">
        <w:t>aggregated for the core private equity portfolio, specialized portfolio, and total portfolio.</w:t>
      </w:r>
    </w:p>
    <w:p w14:paraId="3941A4ED" w14:textId="663306E1" w:rsidR="000A3ADA" w:rsidRPr="00971079" w:rsidRDefault="001027DF" w:rsidP="005F6078">
      <w:pPr>
        <w:pStyle w:val="ListParagraph"/>
        <w:numPr>
          <w:ilvl w:val="0"/>
          <w:numId w:val="33"/>
        </w:numPr>
        <w:spacing w:before="120"/>
        <w:ind w:left="360"/>
        <w:rPr>
          <w:b/>
          <w:sz w:val="20"/>
          <w:szCs w:val="20"/>
          <w:u w:val="single"/>
        </w:rPr>
      </w:pPr>
      <w:r w:rsidRPr="00971079">
        <w:rPr>
          <w:b/>
          <w:color w:val="015E8F"/>
          <w:u w:val="single"/>
        </w:rPr>
        <w:t>Reconcile the quarterly reporting with the Custodian’s reports and records for accuracy.</w:t>
      </w:r>
    </w:p>
    <w:p w14:paraId="2660F4F0" w14:textId="77777777" w:rsidR="000A3ADA" w:rsidRDefault="000A3ADA">
      <w:r>
        <w:br w:type="page"/>
      </w:r>
    </w:p>
    <w:p w14:paraId="748A843D" w14:textId="77777777" w:rsidR="00030087" w:rsidRPr="00296FA8" w:rsidRDefault="00030087" w:rsidP="00296FA8">
      <w:pPr>
        <w:pStyle w:val="Heading5"/>
      </w:pPr>
      <w:r w:rsidRPr="00296FA8">
        <w:lastRenderedPageBreak/>
        <w:t>Request for Information</w:t>
      </w:r>
    </w:p>
    <w:p w14:paraId="01001392" w14:textId="77777777" w:rsidR="00030087" w:rsidRPr="00030087" w:rsidRDefault="00030087" w:rsidP="00030087">
      <w:pPr>
        <w:autoSpaceDE w:val="0"/>
        <w:autoSpaceDN w:val="0"/>
        <w:adjustRightInd w:val="0"/>
        <w:rPr>
          <w:rFonts w:cs="Book Antiqua"/>
          <w:sz w:val="20"/>
          <w:szCs w:val="20"/>
        </w:rPr>
      </w:pPr>
      <w:r w:rsidRPr="00030087">
        <w:rPr>
          <w:rFonts w:cs="Book Antiqua"/>
          <w:sz w:val="20"/>
          <w:szCs w:val="20"/>
        </w:rPr>
        <w:t>The Trustees of the Building Service Pension Fund would be pleased to receive information regarding capabilities and experience in managing private equity funds.</w:t>
      </w:r>
    </w:p>
    <w:p w14:paraId="1DAFBDC4" w14:textId="77777777" w:rsidR="00030087" w:rsidRPr="00030087" w:rsidRDefault="00030087" w:rsidP="00242F27">
      <w:pPr>
        <w:spacing w:before="120"/>
        <w:rPr>
          <w:sz w:val="20"/>
          <w:szCs w:val="20"/>
        </w:rPr>
      </w:pPr>
      <w:r w:rsidRPr="00030087">
        <w:rPr>
          <w:sz w:val="20"/>
          <w:szCs w:val="20"/>
        </w:rPr>
        <w:t>Please provide the following information:</w:t>
      </w:r>
    </w:p>
    <w:p w14:paraId="4A26C24B" w14:textId="77777777" w:rsidR="00030087" w:rsidRPr="00296FA8" w:rsidRDefault="00030087" w:rsidP="00242F27">
      <w:pPr>
        <w:pStyle w:val="Sub-Heading"/>
        <w:spacing w:before="240"/>
      </w:pPr>
      <w:r w:rsidRPr="00296FA8">
        <w:t>Firm:</w:t>
      </w:r>
    </w:p>
    <w:p w14:paraId="4BF89FC5"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Legal Name</w:t>
      </w:r>
    </w:p>
    <w:p w14:paraId="1C163152"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Primary Contact (name)</w:t>
      </w:r>
    </w:p>
    <w:p w14:paraId="1A6EC7B8"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Address</w:t>
      </w:r>
    </w:p>
    <w:p w14:paraId="26F0A8C6"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Telephone</w:t>
      </w:r>
    </w:p>
    <w:p w14:paraId="79877FFB"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Facsimile</w:t>
      </w:r>
    </w:p>
    <w:p w14:paraId="5E45A808" w14:textId="77777777" w:rsidR="00030087" w:rsidRPr="00030087" w:rsidRDefault="00030087" w:rsidP="005F6078">
      <w:pPr>
        <w:numPr>
          <w:ilvl w:val="0"/>
          <w:numId w:val="41"/>
        </w:numPr>
        <w:autoSpaceDE w:val="0"/>
        <w:autoSpaceDN w:val="0"/>
        <w:adjustRightInd w:val="0"/>
        <w:spacing w:before="120"/>
        <w:rPr>
          <w:rFonts w:cs="Book Antiqua"/>
          <w:sz w:val="20"/>
          <w:szCs w:val="20"/>
        </w:rPr>
      </w:pPr>
      <w:r w:rsidRPr="00030087">
        <w:rPr>
          <w:rFonts w:cs="Book Antiqua"/>
          <w:sz w:val="20"/>
          <w:szCs w:val="20"/>
        </w:rPr>
        <w:t>E-mail</w:t>
      </w:r>
    </w:p>
    <w:p w14:paraId="38416A98" w14:textId="6A616DE8" w:rsidR="00242F27" w:rsidRPr="00800FB4" w:rsidRDefault="00030087" w:rsidP="00800FB4">
      <w:pPr>
        <w:numPr>
          <w:ilvl w:val="0"/>
          <w:numId w:val="41"/>
        </w:numPr>
        <w:autoSpaceDE w:val="0"/>
        <w:autoSpaceDN w:val="0"/>
        <w:adjustRightInd w:val="0"/>
        <w:spacing w:before="120"/>
        <w:rPr>
          <w:rFonts w:cs="Book Antiqua"/>
          <w:sz w:val="20"/>
          <w:szCs w:val="20"/>
        </w:rPr>
      </w:pPr>
      <w:r w:rsidRPr="00030087">
        <w:rPr>
          <w:rFonts w:cs="Book Antiqua"/>
          <w:sz w:val="20"/>
          <w:szCs w:val="20"/>
        </w:rPr>
        <w:t>Firm Description (max. 300 words)</w:t>
      </w:r>
    </w:p>
    <w:p w14:paraId="1598D73B"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Firm Headquarters</w:t>
      </w:r>
    </w:p>
    <w:p w14:paraId="23859DE5"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Number of Offices</w:t>
      </w:r>
    </w:p>
    <w:p w14:paraId="58071B27"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Firm Inception</w:t>
      </w:r>
    </w:p>
    <w:p w14:paraId="23A99384"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Number of employees</w:t>
      </w:r>
    </w:p>
    <w:p w14:paraId="3B8CFB75"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Number of Private Equity Discretionary Clients</w:t>
      </w:r>
    </w:p>
    <w:p w14:paraId="2A977C71"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 xml:space="preserve">Discretionary Assets </w:t>
      </w:r>
    </w:p>
    <w:p w14:paraId="108DB2BA"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Non-Discretionary Assets</w:t>
      </w:r>
    </w:p>
    <w:p w14:paraId="270E3B79"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2020 Commitments ($)</w:t>
      </w:r>
    </w:p>
    <w:p w14:paraId="680C69BF"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2020 Commitments (# of funds)</w:t>
      </w:r>
    </w:p>
    <w:p w14:paraId="3F41A798"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2020 Oversubscribed</w:t>
      </w:r>
    </w:p>
    <w:p w14:paraId="54C73893"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2020 Re-ups</w:t>
      </w:r>
    </w:p>
    <w:p w14:paraId="79D24EBE"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Number of Funds in pipeline</w:t>
      </w:r>
    </w:p>
    <w:p w14:paraId="1423CC15"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Investment Strategy and Portfolio Construction</w:t>
      </w:r>
    </w:p>
    <w:p w14:paraId="3C58FB40"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 xml:space="preserve">Allocation Policy </w:t>
      </w:r>
    </w:p>
    <w:p w14:paraId="3CAB93E0" w14:textId="77777777"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Fees</w:t>
      </w:r>
    </w:p>
    <w:p w14:paraId="1D54D91C" w14:textId="7BE3AB20" w:rsidR="00800FB4" w:rsidRPr="00800FB4" w:rsidRDefault="00800FB4" w:rsidP="00800FB4">
      <w:pPr>
        <w:numPr>
          <w:ilvl w:val="0"/>
          <w:numId w:val="41"/>
        </w:numPr>
        <w:autoSpaceDE w:val="0"/>
        <w:autoSpaceDN w:val="0"/>
        <w:adjustRightInd w:val="0"/>
        <w:spacing w:before="120"/>
        <w:rPr>
          <w:rFonts w:cs="Book Antiqua"/>
          <w:sz w:val="20"/>
          <w:szCs w:val="20"/>
        </w:rPr>
      </w:pPr>
      <w:r w:rsidRPr="00800FB4">
        <w:rPr>
          <w:rFonts w:cs="Book Antiqua"/>
          <w:sz w:val="20"/>
          <w:szCs w:val="20"/>
        </w:rPr>
        <w:t xml:space="preserve">Performance History </w:t>
      </w:r>
      <w:r w:rsidR="000D30B8">
        <w:rPr>
          <w:rFonts w:cs="Book Antiqua"/>
          <w:sz w:val="20"/>
          <w:szCs w:val="20"/>
        </w:rPr>
        <w:t>(including performance of</w:t>
      </w:r>
      <w:r w:rsidR="00ED69DB">
        <w:rPr>
          <w:rFonts w:cs="Book Antiqua"/>
          <w:sz w:val="20"/>
          <w:szCs w:val="20"/>
        </w:rPr>
        <w:t xml:space="preserve"> all</w:t>
      </w:r>
      <w:r w:rsidR="000D30B8">
        <w:rPr>
          <w:rFonts w:cs="Book Antiqua"/>
          <w:sz w:val="20"/>
          <w:szCs w:val="20"/>
        </w:rPr>
        <w:t xml:space="preserve"> similarly sized SMAs and their underlying strategy) </w:t>
      </w:r>
    </w:p>
    <w:p w14:paraId="6973866C" w14:textId="4211DE0A" w:rsidR="00800FB4" w:rsidRDefault="00800FB4">
      <w:pPr>
        <w:sectPr w:rsidR="00800FB4" w:rsidSect="00242F27">
          <w:headerReference w:type="default" r:id="rId11"/>
          <w:footerReference w:type="default" r:id="rId12"/>
          <w:headerReference w:type="first" r:id="rId13"/>
          <w:footerReference w:type="first" r:id="rId14"/>
          <w:pgSz w:w="12240" w:h="15840" w:code="1"/>
          <w:pgMar w:top="576" w:right="1080" w:bottom="720" w:left="1080" w:header="576" w:footer="576" w:gutter="0"/>
          <w:cols w:space="720"/>
          <w:docGrid w:linePitch="381"/>
        </w:sectPr>
      </w:pPr>
    </w:p>
    <w:p w14:paraId="24C566A3" w14:textId="77777777" w:rsidR="00A200C2" w:rsidRPr="00A200C2" w:rsidRDefault="00A200C2" w:rsidP="00296FA8">
      <w:pPr>
        <w:pStyle w:val="Heading5"/>
      </w:pPr>
      <w:r w:rsidRPr="00A200C2">
        <w:lastRenderedPageBreak/>
        <w:t>Investment Professionals</w:t>
      </w:r>
    </w:p>
    <w:tbl>
      <w:tblPr>
        <w:tblW w:w="9360" w:type="dxa"/>
        <w:jc w:val="center"/>
        <w:tblLook w:val="00A0" w:firstRow="1" w:lastRow="0" w:firstColumn="1" w:lastColumn="0" w:noHBand="0" w:noVBand="0"/>
      </w:tblPr>
      <w:tblGrid>
        <w:gridCol w:w="2163"/>
        <w:gridCol w:w="1870"/>
        <w:gridCol w:w="1110"/>
        <w:gridCol w:w="1420"/>
        <w:gridCol w:w="2797"/>
      </w:tblGrid>
      <w:tr w:rsidR="00A200C2" w:rsidRPr="00A200C2" w14:paraId="2FB1EDD8" w14:textId="77777777" w:rsidTr="00C77EFC">
        <w:trPr>
          <w:jc w:val="center"/>
        </w:trPr>
        <w:tc>
          <w:tcPr>
            <w:tcW w:w="9360" w:type="dxa"/>
            <w:gridSpan w:val="5"/>
            <w:shd w:val="clear" w:color="auto" w:fill="auto"/>
          </w:tcPr>
          <w:p w14:paraId="43FF2EC4" w14:textId="77777777" w:rsidR="00A200C2" w:rsidRPr="00A200C2" w:rsidRDefault="00A200C2" w:rsidP="00C77EFC">
            <w:pPr>
              <w:spacing w:before="60" w:after="240"/>
              <w:rPr>
                <w:color w:val="FF0000"/>
                <w:sz w:val="20"/>
                <w:szCs w:val="20"/>
              </w:rPr>
            </w:pPr>
            <w:r w:rsidRPr="00A200C2">
              <w:rPr>
                <w:b/>
                <w:i/>
                <w:color w:val="015E8F"/>
                <w:sz w:val="20"/>
                <w:szCs w:val="20"/>
              </w:rPr>
              <w:t>Include all senior and mid-level (Limit this to top 15 professionals)   See table below</w:t>
            </w:r>
          </w:p>
        </w:tc>
      </w:tr>
      <w:tr w:rsidR="004F5DDF" w:rsidRPr="004F5DDF" w14:paraId="43D25F9D" w14:textId="77777777" w:rsidTr="00C77EFC">
        <w:tblPrEx>
          <w:tblLook w:val="0000" w:firstRow="0" w:lastRow="0" w:firstColumn="0" w:lastColumn="0" w:noHBand="0" w:noVBand="0"/>
        </w:tblPrEx>
        <w:trPr>
          <w:jc w:val="center"/>
        </w:trPr>
        <w:tc>
          <w:tcPr>
            <w:tcW w:w="2163" w:type="dxa"/>
            <w:shd w:val="clear" w:color="auto" w:fill="015E8F"/>
            <w:vAlign w:val="bottom"/>
          </w:tcPr>
          <w:p w14:paraId="51D2BD42" w14:textId="77777777" w:rsidR="00A200C2" w:rsidRPr="004F5DDF" w:rsidRDefault="00A200C2" w:rsidP="00242F27">
            <w:pPr>
              <w:spacing w:before="120" w:after="120"/>
              <w:rPr>
                <w:b/>
                <w:color w:val="FFFFFF" w:themeColor="background1"/>
                <w:sz w:val="20"/>
                <w:szCs w:val="20"/>
              </w:rPr>
            </w:pPr>
            <w:r w:rsidRPr="004F5DDF">
              <w:rPr>
                <w:b/>
                <w:color w:val="FFFFFF" w:themeColor="background1"/>
                <w:sz w:val="20"/>
                <w:szCs w:val="20"/>
              </w:rPr>
              <w:t>Name</w:t>
            </w:r>
          </w:p>
        </w:tc>
        <w:tc>
          <w:tcPr>
            <w:tcW w:w="1870" w:type="dxa"/>
            <w:shd w:val="clear" w:color="auto" w:fill="015E8F"/>
            <w:vAlign w:val="bottom"/>
          </w:tcPr>
          <w:p w14:paraId="1CB37B93"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Title</w:t>
            </w:r>
          </w:p>
        </w:tc>
        <w:tc>
          <w:tcPr>
            <w:tcW w:w="1110" w:type="dxa"/>
            <w:shd w:val="clear" w:color="auto" w:fill="015E8F"/>
            <w:vAlign w:val="bottom"/>
          </w:tcPr>
          <w:p w14:paraId="2C986DC7"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Years at</w:t>
            </w:r>
            <w:r w:rsidRPr="004F5DDF">
              <w:rPr>
                <w:b/>
                <w:color w:val="FFFFFF" w:themeColor="background1"/>
                <w:sz w:val="20"/>
                <w:szCs w:val="20"/>
              </w:rPr>
              <w:br/>
              <w:t>Manager</w:t>
            </w:r>
          </w:p>
        </w:tc>
        <w:tc>
          <w:tcPr>
            <w:tcW w:w="1420" w:type="dxa"/>
            <w:shd w:val="clear" w:color="auto" w:fill="015E8F"/>
            <w:vAlign w:val="bottom"/>
          </w:tcPr>
          <w:p w14:paraId="6EB827AF"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Total Years</w:t>
            </w:r>
            <w:r w:rsidRPr="004F5DDF">
              <w:rPr>
                <w:b/>
                <w:color w:val="FFFFFF" w:themeColor="background1"/>
                <w:sz w:val="20"/>
                <w:szCs w:val="20"/>
              </w:rPr>
              <w:br/>
              <w:t>Experience</w:t>
            </w:r>
          </w:p>
        </w:tc>
        <w:tc>
          <w:tcPr>
            <w:tcW w:w="2797" w:type="dxa"/>
            <w:shd w:val="clear" w:color="auto" w:fill="015E8F"/>
            <w:vAlign w:val="bottom"/>
          </w:tcPr>
          <w:p w14:paraId="29D74DDA" w14:textId="7390FC11" w:rsidR="00A200C2" w:rsidRPr="004F5DDF" w:rsidRDefault="00296FA8" w:rsidP="00242F27">
            <w:pPr>
              <w:spacing w:before="120" w:after="120"/>
              <w:jc w:val="center"/>
              <w:rPr>
                <w:b/>
                <w:color w:val="FFFFFF" w:themeColor="background1"/>
                <w:sz w:val="20"/>
                <w:szCs w:val="20"/>
              </w:rPr>
            </w:pPr>
            <w:r>
              <w:rPr>
                <w:b/>
                <w:color w:val="FFFFFF" w:themeColor="background1"/>
                <w:sz w:val="20"/>
                <w:szCs w:val="20"/>
              </w:rPr>
              <w:t>Relevant</w:t>
            </w:r>
            <w:r>
              <w:rPr>
                <w:b/>
                <w:color w:val="FFFFFF" w:themeColor="background1"/>
                <w:sz w:val="20"/>
                <w:szCs w:val="20"/>
              </w:rPr>
              <w:br/>
            </w:r>
            <w:r w:rsidR="00A200C2" w:rsidRPr="004F5DDF">
              <w:rPr>
                <w:b/>
                <w:color w:val="FFFFFF" w:themeColor="background1"/>
                <w:sz w:val="20"/>
                <w:szCs w:val="20"/>
              </w:rPr>
              <w:t>Experience/Degree</w:t>
            </w:r>
          </w:p>
        </w:tc>
      </w:tr>
      <w:tr w:rsidR="004F5DDF" w:rsidRPr="004F5DDF" w14:paraId="48D9389E" w14:textId="77777777" w:rsidTr="00C77EFC">
        <w:tblPrEx>
          <w:tblLook w:val="0000" w:firstRow="0" w:lastRow="0" w:firstColumn="0" w:lastColumn="0" w:noHBand="0" w:noVBand="0"/>
        </w:tblPrEx>
        <w:trPr>
          <w:jc w:val="center"/>
        </w:trPr>
        <w:tc>
          <w:tcPr>
            <w:tcW w:w="2163" w:type="dxa"/>
            <w:vAlign w:val="center"/>
          </w:tcPr>
          <w:p w14:paraId="78AAE572" w14:textId="77777777" w:rsidR="00A200C2" w:rsidRPr="004F5DDF" w:rsidRDefault="00A200C2" w:rsidP="00242F27">
            <w:pPr>
              <w:spacing w:before="60" w:after="60"/>
              <w:rPr>
                <w:i/>
                <w:sz w:val="20"/>
                <w:szCs w:val="20"/>
              </w:rPr>
            </w:pPr>
          </w:p>
        </w:tc>
        <w:tc>
          <w:tcPr>
            <w:tcW w:w="1870" w:type="dxa"/>
            <w:vAlign w:val="center"/>
          </w:tcPr>
          <w:p w14:paraId="4F313755" w14:textId="77777777" w:rsidR="00A200C2" w:rsidRPr="004F5DDF" w:rsidRDefault="00A200C2" w:rsidP="00242F27">
            <w:pPr>
              <w:spacing w:before="60" w:after="60"/>
              <w:jc w:val="center"/>
              <w:rPr>
                <w:i/>
                <w:sz w:val="20"/>
                <w:szCs w:val="20"/>
              </w:rPr>
            </w:pPr>
          </w:p>
        </w:tc>
        <w:tc>
          <w:tcPr>
            <w:tcW w:w="1110" w:type="dxa"/>
            <w:vAlign w:val="center"/>
          </w:tcPr>
          <w:p w14:paraId="2E248787" w14:textId="77777777" w:rsidR="00A200C2" w:rsidRPr="004F5DDF" w:rsidRDefault="00A200C2" w:rsidP="00242F27">
            <w:pPr>
              <w:spacing w:before="60" w:after="60"/>
              <w:jc w:val="center"/>
              <w:rPr>
                <w:i/>
                <w:sz w:val="20"/>
                <w:szCs w:val="20"/>
              </w:rPr>
            </w:pPr>
          </w:p>
        </w:tc>
        <w:tc>
          <w:tcPr>
            <w:tcW w:w="1420" w:type="dxa"/>
            <w:vAlign w:val="center"/>
          </w:tcPr>
          <w:p w14:paraId="4A70231B" w14:textId="77777777" w:rsidR="00A200C2" w:rsidRPr="004F5DDF" w:rsidRDefault="00A200C2" w:rsidP="00242F27">
            <w:pPr>
              <w:spacing w:before="60" w:after="60"/>
              <w:jc w:val="center"/>
              <w:rPr>
                <w:i/>
                <w:sz w:val="20"/>
                <w:szCs w:val="20"/>
              </w:rPr>
            </w:pPr>
          </w:p>
        </w:tc>
        <w:tc>
          <w:tcPr>
            <w:tcW w:w="2797" w:type="dxa"/>
            <w:vAlign w:val="center"/>
          </w:tcPr>
          <w:p w14:paraId="4AFF8D36" w14:textId="77777777" w:rsidR="00A200C2" w:rsidRPr="004F5DDF" w:rsidRDefault="00A200C2" w:rsidP="00242F27">
            <w:pPr>
              <w:spacing w:before="60" w:after="60"/>
              <w:rPr>
                <w:i/>
                <w:sz w:val="20"/>
                <w:szCs w:val="20"/>
              </w:rPr>
            </w:pPr>
          </w:p>
        </w:tc>
      </w:tr>
      <w:tr w:rsidR="004F5DDF" w:rsidRPr="004F5DDF" w14:paraId="64A21ADD" w14:textId="77777777" w:rsidTr="00C77EFC">
        <w:tblPrEx>
          <w:tblLook w:val="0000" w:firstRow="0" w:lastRow="0" w:firstColumn="0" w:lastColumn="0" w:noHBand="0" w:noVBand="0"/>
        </w:tblPrEx>
        <w:trPr>
          <w:jc w:val="center"/>
        </w:trPr>
        <w:tc>
          <w:tcPr>
            <w:tcW w:w="2163" w:type="dxa"/>
            <w:shd w:val="clear" w:color="auto" w:fill="D9D9D9" w:themeFill="background1" w:themeFillShade="D9"/>
            <w:vAlign w:val="center"/>
          </w:tcPr>
          <w:p w14:paraId="505DE3BC" w14:textId="77777777" w:rsidR="00A200C2" w:rsidRPr="004F5DDF" w:rsidRDefault="00A200C2" w:rsidP="00242F27">
            <w:pPr>
              <w:spacing w:before="60" w:after="60"/>
              <w:rPr>
                <w:i/>
                <w:sz w:val="20"/>
                <w:szCs w:val="20"/>
              </w:rPr>
            </w:pPr>
          </w:p>
        </w:tc>
        <w:tc>
          <w:tcPr>
            <w:tcW w:w="1870" w:type="dxa"/>
            <w:shd w:val="clear" w:color="auto" w:fill="D9D9D9" w:themeFill="background1" w:themeFillShade="D9"/>
            <w:vAlign w:val="center"/>
          </w:tcPr>
          <w:p w14:paraId="3CF67113" w14:textId="77777777" w:rsidR="00A200C2" w:rsidRPr="004F5DDF" w:rsidRDefault="00A200C2" w:rsidP="00242F27">
            <w:pPr>
              <w:spacing w:before="60" w:after="60"/>
              <w:jc w:val="center"/>
              <w:rPr>
                <w:i/>
                <w:sz w:val="20"/>
                <w:szCs w:val="20"/>
              </w:rPr>
            </w:pPr>
          </w:p>
        </w:tc>
        <w:tc>
          <w:tcPr>
            <w:tcW w:w="1110" w:type="dxa"/>
            <w:shd w:val="clear" w:color="auto" w:fill="D9D9D9" w:themeFill="background1" w:themeFillShade="D9"/>
            <w:vAlign w:val="center"/>
          </w:tcPr>
          <w:p w14:paraId="555CAE35" w14:textId="77777777" w:rsidR="00A200C2" w:rsidRPr="004F5DDF" w:rsidRDefault="00A200C2" w:rsidP="00242F27">
            <w:pPr>
              <w:spacing w:before="60" w:after="60"/>
              <w:jc w:val="center"/>
              <w:rPr>
                <w:i/>
                <w:sz w:val="20"/>
                <w:szCs w:val="20"/>
              </w:rPr>
            </w:pPr>
          </w:p>
        </w:tc>
        <w:tc>
          <w:tcPr>
            <w:tcW w:w="1420" w:type="dxa"/>
            <w:shd w:val="clear" w:color="auto" w:fill="D9D9D9" w:themeFill="background1" w:themeFillShade="D9"/>
            <w:vAlign w:val="center"/>
          </w:tcPr>
          <w:p w14:paraId="5F940BF5" w14:textId="77777777" w:rsidR="00A200C2" w:rsidRPr="004F5DDF" w:rsidRDefault="00A200C2" w:rsidP="00242F27">
            <w:pPr>
              <w:spacing w:before="60" w:after="60"/>
              <w:jc w:val="center"/>
              <w:rPr>
                <w:i/>
                <w:sz w:val="20"/>
                <w:szCs w:val="20"/>
              </w:rPr>
            </w:pPr>
          </w:p>
        </w:tc>
        <w:tc>
          <w:tcPr>
            <w:tcW w:w="2797" w:type="dxa"/>
            <w:shd w:val="clear" w:color="auto" w:fill="D9D9D9" w:themeFill="background1" w:themeFillShade="D9"/>
            <w:vAlign w:val="center"/>
          </w:tcPr>
          <w:p w14:paraId="4D9B94A3" w14:textId="77777777" w:rsidR="00A200C2" w:rsidRPr="004F5DDF" w:rsidRDefault="00A200C2" w:rsidP="00242F27">
            <w:pPr>
              <w:spacing w:before="60" w:after="60"/>
              <w:rPr>
                <w:i/>
                <w:sz w:val="20"/>
                <w:szCs w:val="20"/>
              </w:rPr>
            </w:pPr>
          </w:p>
        </w:tc>
      </w:tr>
      <w:tr w:rsidR="004F5DDF" w:rsidRPr="004F5DDF" w14:paraId="0101DD35" w14:textId="77777777" w:rsidTr="00C77EFC">
        <w:tblPrEx>
          <w:tblLook w:val="0000" w:firstRow="0" w:lastRow="0" w:firstColumn="0" w:lastColumn="0" w:noHBand="0" w:noVBand="0"/>
        </w:tblPrEx>
        <w:trPr>
          <w:jc w:val="center"/>
        </w:trPr>
        <w:tc>
          <w:tcPr>
            <w:tcW w:w="2163" w:type="dxa"/>
            <w:vAlign w:val="center"/>
          </w:tcPr>
          <w:p w14:paraId="39ED6E79" w14:textId="77777777" w:rsidR="00A200C2" w:rsidRPr="004F5DDF" w:rsidRDefault="00A200C2" w:rsidP="00242F27">
            <w:pPr>
              <w:spacing w:before="60" w:after="60"/>
              <w:rPr>
                <w:sz w:val="20"/>
                <w:szCs w:val="20"/>
              </w:rPr>
            </w:pPr>
          </w:p>
        </w:tc>
        <w:tc>
          <w:tcPr>
            <w:tcW w:w="1870" w:type="dxa"/>
            <w:vAlign w:val="center"/>
          </w:tcPr>
          <w:p w14:paraId="64B3D7CB" w14:textId="77777777" w:rsidR="00A200C2" w:rsidRPr="004F5DDF" w:rsidRDefault="00A200C2" w:rsidP="00242F27">
            <w:pPr>
              <w:spacing w:before="60" w:after="60"/>
              <w:jc w:val="center"/>
              <w:rPr>
                <w:sz w:val="20"/>
                <w:szCs w:val="20"/>
              </w:rPr>
            </w:pPr>
          </w:p>
        </w:tc>
        <w:tc>
          <w:tcPr>
            <w:tcW w:w="1110" w:type="dxa"/>
            <w:vAlign w:val="center"/>
          </w:tcPr>
          <w:p w14:paraId="626A7DA8" w14:textId="77777777" w:rsidR="00A200C2" w:rsidRPr="004F5DDF" w:rsidRDefault="00A200C2" w:rsidP="00242F27">
            <w:pPr>
              <w:tabs>
                <w:tab w:val="decimal" w:pos="469"/>
              </w:tabs>
              <w:spacing w:before="60" w:after="60"/>
              <w:rPr>
                <w:sz w:val="20"/>
                <w:szCs w:val="20"/>
              </w:rPr>
            </w:pPr>
          </w:p>
        </w:tc>
        <w:tc>
          <w:tcPr>
            <w:tcW w:w="1420" w:type="dxa"/>
            <w:vAlign w:val="center"/>
          </w:tcPr>
          <w:p w14:paraId="2A6379FD" w14:textId="77777777" w:rsidR="00A200C2" w:rsidRPr="004F5DDF" w:rsidRDefault="00A200C2" w:rsidP="00242F27">
            <w:pPr>
              <w:tabs>
                <w:tab w:val="decimal" w:pos="605"/>
              </w:tabs>
              <w:spacing w:before="60" w:after="60"/>
              <w:rPr>
                <w:sz w:val="20"/>
                <w:szCs w:val="20"/>
              </w:rPr>
            </w:pPr>
          </w:p>
        </w:tc>
        <w:tc>
          <w:tcPr>
            <w:tcW w:w="2797" w:type="dxa"/>
            <w:vAlign w:val="center"/>
          </w:tcPr>
          <w:p w14:paraId="454B9E39" w14:textId="77777777" w:rsidR="00A200C2" w:rsidRPr="004F5DDF" w:rsidRDefault="00A200C2" w:rsidP="00242F27">
            <w:pPr>
              <w:spacing w:before="60" w:after="60"/>
              <w:rPr>
                <w:sz w:val="20"/>
                <w:szCs w:val="20"/>
              </w:rPr>
            </w:pPr>
          </w:p>
        </w:tc>
      </w:tr>
      <w:tr w:rsidR="004F5DDF" w:rsidRPr="004F5DDF" w14:paraId="341B4546" w14:textId="77777777" w:rsidTr="00C77EFC">
        <w:tblPrEx>
          <w:tblLook w:val="0000" w:firstRow="0" w:lastRow="0" w:firstColumn="0" w:lastColumn="0" w:noHBand="0" w:noVBand="0"/>
        </w:tblPrEx>
        <w:trPr>
          <w:jc w:val="center"/>
        </w:trPr>
        <w:tc>
          <w:tcPr>
            <w:tcW w:w="2163" w:type="dxa"/>
            <w:shd w:val="clear" w:color="auto" w:fill="D9D9D9" w:themeFill="background1" w:themeFillShade="D9"/>
            <w:vAlign w:val="center"/>
          </w:tcPr>
          <w:p w14:paraId="3F8FEE54" w14:textId="77777777" w:rsidR="00A200C2" w:rsidRPr="004F5DDF" w:rsidRDefault="00A200C2" w:rsidP="00242F27">
            <w:pPr>
              <w:spacing w:before="60" w:after="60"/>
              <w:rPr>
                <w:sz w:val="20"/>
                <w:szCs w:val="20"/>
              </w:rPr>
            </w:pPr>
          </w:p>
        </w:tc>
        <w:tc>
          <w:tcPr>
            <w:tcW w:w="1870" w:type="dxa"/>
            <w:shd w:val="clear" w:color="auto" w:fill="D9D9D9" w:themeFill="background1" w:themeFillShade="D9"/>
            <w:vAlign w:val="center"/>
          </w:tcPr>
          <w:p w14:paraId="0FB6EF93" w14:textId="77777777" w:rsidR="00A200C2" w:rsidRPr="004F5DDF" w:rsidRDefault="00A200C2" w:rsidP="00242F27">
            <w:pPr>
              <w:spacing w:before="60" w:after="60"/>
              <w:jc w:val="center"/>
              <w:rPr>
                <w:sz w:val="20"/>
                <w:szCs w:val="20"/>
              </w:rPr>
            </w:pPr>
          </w:p>
        </w:tc>
        <w:tc>
          <w:tcPr>
            <w:tcW w:w="1110" w:type="dxa"/>
            <w:shd w:val="clear" w:color="auto" w:fill="D9D9D9" w:themeFill="background1" w:themeFillShade="D9"/>
            <w:vAlign w:val="center"/>
          </w:tcPr>
          <w:p w14:paraId="78119E49" w14:textId="77777777" w:rsidR="00A200C2" w:rsidRPr="004F5DDF" w:rsidRDefault="00A200C2" w:rsidP="00242F27">
            <w:pPr>
              <w:tabs>
                <w:tab w:val="decimal" w:pos="469"/>
              </w:tabs>
              <w:spacing w:before="60" w:after="60"/>
              <w:rPr>
                <w:sz w:val="20"/>
                <w:szCs w:val="20"/>
              </w:rPr>
            </w:pPr>
          </w:p>
        </w:tc>
        <w:tc>
          <w:tcPr>
            <w:tcW w:w="1420" w:type="dxa"/>
            <w:shd w:val="clear" w:color="auto" w:fill="D9D9D9" w:themeFill="background1" w:themeFillShade="D9"/>
            <w:vAlign w:val="center"/>
          </w:tcPr>
          <w:p w14:paraId="56F24616" w14:textId="77777777" w:rsidR="00A200C2" w:rsidRPr="004F5DDF" w:rsidRDefault="00A200C2" w:rsidP="00242F27">
            <w:pPr>
              <w:tabs>
                <w:tab w:val="decimal" w:pos="605"/>
              </w:tabs>
              <w:spacing w:before="60" w:after="60"/>
              <w:rPr>
                <w:sz w:val="20"/>
                <w:szCs w:val="20"/>
              </w:rPr>
            </w:pPr>
          </w:p>
        </w:tc>
        <w:tc>
          <w:tcPr>
            <w:tcW w:w="2797" w:type="dxa"/>
            <w:shd w:val="clear" w:color="auto" w:fill="D9D9D9" w:themeFill="background1" w:themeFillShade="D9"/>
            <w:vAlign w:val="center"/>
          </w:tcPr>
          <w:p w14:paraId="2777A5AA" w14:textId="77777777" w:rsidR="00A200C2" w:rsidRPr="004F5DDF" w:rsidRDefault="00A200C2" w:rsidP="00242F27">
            <w:pPr>
              <w:spacing w:before="60" w:after="60"/>
              <w:rPr>
                <w:sz w:val="20"/>
                <w:szCs w:val="20"/>
              </w:rPr>
            </w:pPr>
          </w:p>
        </w:tc>
      </w:tr>
      <w:tr w:rsidR="004F5DDF" w:rsidRPr="004F5DDF" w14:paraId="3BBA1657" w14:textId="77777777" w:rsidTr="00C77EFC">
        <w:tblPrEx>
          <w:tblLook w:val="0000" w:firstRow="0" w:lastRow="0" w:firstColumn="0" w:lastColumn="0" w:noHBand="0" w:noVBand="0"/>
        </w:tblPrEx>
        <w:trPr>
          <w:jc w:val="center"/>
        </w:trPr>
        <w:tc>
          <w:tcPr>
            <w:tcW w:w="2163" w:type="dxa"/>
            <w:vAlign w:val="center"/>
          </w:tcPr>
          <w:p w14:paraId="153D5218" w14:textId="77777777" w:rsidR="00A200C2" w:rsidRPr="004F5DDF" w:rsidRDefault="00A200C2" w:rsidP="00242F27">
            <w:pPr>
              <w:spacing w:before="60" w:after="60"/>
              <w:rPr>
                <w:sz w:val="20"/>
                <w:szCs w:val="20"/>
              </w:rPr>
            </w:pPr>
          </w:p>
        </w:tc>
        <w:tc>
          <w:tcPr>
            <w:tcW w:w="1870" w:type="dxa"/>
            <w:vAlign w:val="center"/>
          </w:tcPr>
          <w:p w14:paraId="6C831704" w14:textId="77777777" w:rsidR="00A200C2" w:rsidRPr="004F5DDF" w:rsidRDefault="00A200C2" w:rsidP="00242F27">
            <w:pPr>
              <w:spacing w:before="60" w:after="60"/>
              <w:jc w:val="center"/>
              <w:rPr>
                <w:sz w:val="20"/>
                <w:szCs w:val="20"/>
              </w:rPr>
            </w:pPr>
          </w:p>
        </w:tc>
        <w:tc>
          <w:tcPr>
            <w:tcW w:w="1110" w:type="dxa"/>
            <w:vAlign w:val="center"/>
          </w:tcPr>
          <w:p w14:paraId="7C16EC69" w14:textId="77777777" w:rsidR="00A200C2" w:rsidRPr="004F5DDF" w:rsidRDefault="00A200C2" w:rsidP="00242F27">
            <w:pPr>
              <w:tabs>
                <w:tab w:val="decimal" w:pos="469"/>
              </w:tabs>
              <w:spacing w:before="60" w:after="60"/>
              <w:rPr>
                <w:sz w:val="20"/>
                <w:szCs w:val="20"/>
              </w:rPr>
            </w:pPr>
          </w:p>
        </w:tc>
        <w:tc>
          <w:tcPr>
            <w:tcW w:w="1420" w:type="dxa"/>
            <w:vAlign w:val="center"/>
          </w:tcPr>
          <w:p w14:paraId="16787102" w14:textId="77777777" w:rsidR="00A200C2" w:rsidRPr="004F5DDF" w:rsidRDefault="00A200C2" w:rsidP="00242F27">
            <w:pPr>
              <w:tabs>
                <w:tab w:val="decimal" w:pos="605"/>
              </w:tabs>
              <w:spacing w:before="60" w:after="60"/>
              <w:rPr>
                <w:sz w:val="20"/>
                <w:szCs w:val="20"/>
              </w:rPr>
            </w:pPr>
          </w:p>
        </w:tc>
        <w:tc>
          <w:tcPr>
            <w:tcW w:w="2797" w:type="dxa"/>
            <w:vAlign w:val="center"/>
          </w:tcPr>
          <w:p w14:paraId="25940CC1" w14:textId="77777777" w:rsidR="00A200C2" w:rsidRPr="004F5DDF" w:rsidRDefault="00A200C2" w:rsidP="00242F27">
            <w:pPr>
              <w:spacing w:before="60" w:after="60"/>
              <w:rPr>
                <w:sz w:val="20"/>
                <w:szCs w:val="20"/>
              </w:rPr>
            </w:pPr>
          </w:p>
        </w:tc>
      </w:tr>
    </w:tbl>
    <w:p w14:paraId="6CF7D35B" w14:textId="77777777" w:rsidR="00A200C2" w:rsidRPr="00A200C2" w:rsidRDefault="00A200C2" w:rsidP="00296FA8">
      <w:pPr>
        <w:pStyle w:val="Heading5"/>
      </w:pPr>
      <w:r w:rsidRPr="00A200C2">
        <w:t>Departures</w:t>
      </w:r>
    </w:p>
    <w:tbl>
      <w:tblPr>
        <w:tblW w:w="9360" w:type="dxa"/>
        <w:jc w:val="center"/>
        <w:tblLayout w:type="fixed"/>
        <w:tblLook w:val="0000" w:firstRow="0" w:lastRow="0" w:firstColumn="0" w:lastColumn="0" w:noHBand="0" w:noVBand="0"/>
      </w:tblPr>
      <w:tblGrid>
        <w:gridCol w:w="2163"/>
        <w:gridCol w:w="1167"/>
        <w:gridCol w:w="2520"/>
        <w:gridCol w:w="1080"/>
        <w:gridCol w:w="2430"/>
      </w:tblGrid>
      <w:tr w:rsidR="004F5DDF" w:rsidRPr="004F5DDF" w14:paraId="5CBF8E48" w14:textId="77777777" w:rsidTr="00962079">
        <w:trPr>
          <w:jc w:val="center"/>
        </w:trPr>
        <w:tc>
          <w:tcPr>
            <w:tcW w:w="2163" w:type="dxa"/>
            <w:shd w:val="clear" w:color="auto" w:fill="015E8F"/>
            <w:vAlign w:val="bottom"/>
          </w:tcPr>
          <w:p w14:paraId="7A743C65" w14:textId="77777777" w:rsidR="00A200C2" w:rsidRPr="004F5DDF" w:rsidRDefault="00A200C2" w:rsidP="00242F27">
            <w:pPr>
              <w:spacing w:before="120" w:after="120"/>
              <w:rPr>
                <w:b/>
                <w:color w:val="FFFFFF" w:themeColor="background1"/>
                <w:sz w:val="20"/>
                <w:szCs w:val="20"/>
              </w:rPr>
            </w:pPr>
            <w:r w:rsidRPr="004F5DDF">
              <w:rPr>
                <w:b/>
                <w:color w:val="FFFFFF" w:themeColor="background1"/>
                <w:sz w:val="20"/>
                <w:szCs w:val="20"/>
              </w:rPr>
              <w:t>Name</w:t>
            </w:r>
          </w:p>
        </w:tc>
        <w:tc>
          <w:tcPr>
            <w:tcW w:w="1167" w:type="dxa"/>
            <w:shd w:val="clear" w:color="auto" w:fill="015E8F"/>
            <w:vAlign w:val="bottom"/>
          </w:tcPr>
          <w:p w14:paraId="583DF616"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Entry</w:t>
            </w:r>
            <w:r w:rsidRPr="004F5DDF">
              <w:rPr>
                <w:b/>
                <w:color w:val="FFFFFF" w:themeColor="background1"/>
                <w:sz w:val="20"/>
                <w:szCs w:val="20"/>
              </w:rPr>
              <w:br/>
              <w:t>Year</w:t>
            </w:r>
          </w:p>
        </w:tc>
        <w:tc>
          <w:tcPr>
            <w:tcW w:w="2520" w:type="dxa"/>
            <w:shd w:val="clear" w:color="auto" w:fill="015E8F"/>
            <w:vAlign w:val="bottom"/>
          </w:tcPr>
          <w:p w14:paraId="5C168C86" w14:textId="398CCFE8" w:rsidR="00A200C2" w:rsidRPr="004F5DDF" w:rsidRDefault="00242F27" w:rsidP="00242F27">
            <w:pPr>
              <w:spacing w:before="120" w:after="120"/>
              <w:jc w:val="center"/>
              <w:rPr>
                <w:b/>
                <w:color w:val="FFFFFF" w:themeColor="background1"/>
                <w:sz w:val="20"/>
                <w:szCs w:val="20"/>
              </w:rPr>
            </w:pPr>
            <w:r>
              <w:rPr>
                <w:b/>
                <w:color w:val="FFFFFF" w:themeColor="background1"/>
                <w:sz w:val="20"/>
                <w:szCs w:val="20"/>
              </w:rPr>
              <w:t>Last</w:t>
            </w:r>
            <w:r>
              <w:rPr>
                <w:b/>
                <w:color w:val="FFFFFF" w:themeColor="background1"/>
                <w:sz w:val="20"/>
                <w:szCs w:val="20"/>
              </w:rPr>
              <w:br/>
            </w:r>
            <w:r w:rsidR="00A200C2" w:rsidRPr="004F5DDF">
              <w:rPr>
                <w:b/>
                <w:color w:val="FFFFFF" w:themeColor="background1"/>
                <w:sz w:val="20"/>
                <w:szCs w:val="20"/>
              </w:rPr>
              <w:t>Title</w:t>
            </w:r>
          </w:p>
        </w:tc>
        <w:tc>
          <w:tcPr>
            <w:tcW w:w="1080" w:type="dxa"/>
            <w:shd w:val="clear" w:color="auto" w:fill="015E8F"/>
            <w:vAlign w:val="bottom"/>
          </w:tcPr>
          <w:p w14:paraId="6819C50C"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Exit</w:t>
            </w:r>
            <w:r w:rsidRPr="004F5DDF">
              <w:rPr>
                <w:b/>
                <w:color w:val="FFFFFF" w:themeColor="background1"/>
                <w:sz w:val="20"/>
                <w:szCs w:val="20"/>
              </w:rPr>
              <w:br/>
              <w:t>Year</w:t>
            </w:r>
          </w:p>
        </w:tc>
        <w:tc>
          <w:tcPr>
            <w:tcW w:w="2430" w:type="dxa"/>
            <w:shd w:val="clear" w:color="auto" w:fill="015E8F"/>
            <w:vAlign w:val="bottom"/>
          </w:tcPr>
          <w:p w14:paraId="3FA94B6E" w14:textId="77777777" w:rsidR="00A200C2" w:rsidRPr="004F5DDF" w:rsidRDefault="00A200C2" w:rsidP="00242F27">
            <w:pPr>
              <w:spacing w:before="120" w:after="120"/>
              <w:jc w:val="center"/>
              <w:rPr>
                <w:b/>
                <w:color w:val="FFFFFF" w:themeColor="background1"/>
                <w:sz w:val="20"/>
                <w:szCs w:val="20"/>
              </w:rPr>
            </w:pPr>
            <w:r w:rsidRPr="004F5DDF">
              <w:rPr>
                <w:b/>
                <w:color w:val="FFFFFF" w:themeColor="background1"/>
                <w:sz w:val="20"/>
                <w:szCs w:val="20"/>
              </w:rPr>
              <w:t>Reason</w:t>
            </w:r>
          </w:p>
        </w:tc>
      </w:tr>
      <w:tr w:rsidR="00A200C2" w:rsidRPr="00A200C2" w14:paraId="39E2D2D4" w14:textId="77777777" w:rsidTr="00962079">
        <w:trPr>
          <w:jc w:val="center"/>
        </w:trPr>
        <w:tc>
          <w:tcPr>
            <w:tcW w:w="2163" w:type="dxa"/>
            <w:vAlign w:val="center"/>
          </w:tcPr>
          <w:p w14:paraId="3BC23965" w14:textId="77777777" w:rsidR="00A200C2" w:rsidRPr="00A200C2" w:rsidRDefault="00A200C2" w:rsidP="00242F27">
            <w:pPr>
              <w:spacing w:before="60" w:after="60"/>
              <w:rPr>
                <w:color w:val="000000"/>
                <w:sz w:val="20"/>
                <w:szCs w:val="20"/>
              </w:rPr>
            </w:pPr>
          </w:p>
        </w:tc>
        <w:tc>
          <w:tcPr>
            <w:tcW w:w="1167" w:type="dxa"/>
            <w:vAlign w:val="center"/>
          </w:tcPr>
          <w:p w14:paraId="2520BE58" w14:textId="77777777" w:rsidR="00A200C2" w:rsidRPr="00A200C2" w:rsidRDefault="00A200C2" w:rsidP="00242F27">
            <w:pPr>
              <w:spacing w:before="60" w:after="60"/>
              <w:jc w:val="center"/>
              <w:rPr>
                <w:color w:val="000000"/>
                <w:sz w:val="20"/>
                <w:szCs w:val="20"/>
              </w:rPr>
            </w:pPr>
          </w:p>
        </w:tc>
        <w:tc>
          <w:tcPr>
            <w:tcW w:w="2520" w:type="dxa"/>
            <w:vAlign w:val="center"/>
          </w:tcPr>
          <w:p w14:paraId="743309F6" w14:textId="77777777" w:rsidR="00A200C2" w:rsidRPr="00A200C2" w:rsidRDefault="00A200C2" w:rsidP="00242F27">
            <w:pPr>
              <w:spacing w:before="60" w:after="60"/>
              <w:jc w:val="center"/>
              <w:rPr>
                <w:color w:val="000000"/>
                <w:sz w:val="20"/>
                <w:szCs w:val="20"/>
              </w:rPr>
            </w:pPr>
          </w:p>
        </w:tc>
        <w:tc>
          <w:tcPr>
            <w:tcW w:w="1080" w:type="dxa"/>
            <w:vAlign w:val="center"/>
          </w:tcPr>
          <w:p w14:paraId="651213F5" w14:textId="77777777" w:rsidR="00A200C2" w:rsidRPr="00A200C2" w:rsidRDefault="00A200C2" w:rsidP="00242F27">
            <w:pPr>
              <w:spacing w:before="60" w:after="60"/>
              <w:jc w:val="center"/>
              <w:rPr>
                <w:color w:val="000000"/>
                <w:sz w:val="20"/>
                <w:szCs w:val="20"/>
              </w:rPr>
            </w:pPr>
          </w:p>
        </w:tc>
        <w:tc>
          <w:tcPr>
            <w:tcW w:w="2430" w:type="dxa"/>
            <w:vAlign w:val="center"/>
          </w:tcPr>
          <w:p w14:paraId="019485EF" w14:textId="77777777" w:rsidR="00A200C2" w:rsidRPr="00A200C2" w:rsidRDefault="00A200C2" w:rsidP="00242F27">
            <w:pPr>
              <w:spacing w:before="60" w:after="60"/>
              <w:rPr>
                <w:color w:val="000000"/>
                <w:sz w:val="20"/>
                <w:szCs w:val="20"/>
              </w:rPr>
            </w:pPr>
          </w:p>
        </w:tc>
      </w:tr>
      <w:tr w:rsidR="00A200C2" w:rsidRPr="00A200C2" w14:paraId="65BD5F1F" w14:textId="77777777" w:rsidTr="00B4599B">
        <w:trPr>
          <w:jc w:val="center"/>
        </w:trPr>
        <w:tc>
          <w:tcPr>
            <w:tcW w:w="2163" w:type="dxa"/>
            <w:shd w:val="clear" w:color="auto" w:fill="D9D9D9" w:themeFill="background1" w:themeFillShade="D9"/>
            <w:vAlign w:val="center"/>
          </w:tcPr>
          <w:p w14:paraId="4DBEE0EA" w14:textId="77777777" w:rsidR="00A200C2" w:rsidRPr="00A200C2" w:rsidRDefault="00A200C2" w:rsidP="00242F27">
            <w:pPr>
              <w:spacing w:before="60" w:after="60"/>
              <w:rPr>
                <w:color w:val="000000"/>
                <w:sz w:val="20"/>
                <w:szCs w:val="20"/>
              </w:rPr>
            </w:pPr>
          </w:p>
        </w:tc>
        <w:tc>
          <w:tcPr>
            <w:tcW w:w="1167" w:type="dxa"/>
            <w:shd w:val="clear" w:color="auto" w:fill="D9D9D9" w:themeFill="background1" w:themeFillShade="D9"/>
            <w:vAlign w:val="center"/>
          </w:tcPr>
          <w:p w14:paraId="2EC74468" w14:textId="77777777" w:rsidR="00A200C2" w:rsidRPr="00A200C2" w:rsidRDefault="00A200C2" w:rsidP="00242F27">
            <w:pPr>
              <w:spacing w:before="60" w:after="60"/>
              <w:jc w:val="center"/>
              <w:rPr>
                <w:color w:val="000000"/>
                <w:sz w:val="20"/>
                <w:szCs w:val="20"/>
              </w:rPr>
            </w:pPr>
          </w:p>
        </w:tc>
        <w:tc>
          <w:tcPr>
            <w:tcW w:w="2520" w:type="dxa"/>
            <w:shd w:val="clear" w:color="auto" w:fill="D9D9D9" w:themeFill="background1" w:themeFillShade="D9"/>
            <w:vAlign w:val="center"/>
          </w:tcPr>
          <w:p w14:paraId="2D9803A1" w14:textId="77777777" w:rsidR="00A200C2" w:rsidRPr="00A200C2" w:rsidRDefault="00A200C2" w:rsidP="00242F27">
            <w:pPr>
              <w:spacing w:before="60" w:after="60"/>
              <w:jc w:val="center"/>
              <w:rPr>
                <w:color w:val="000000"/>
                <w:sz w:val="20"/>
                <w:szCs w:val="20"/>
              </w:rPr>
            </w:pPr>
          </w:p>
        </w:tc>
        <w:tc>
          <w:tcPr>
            <w:tcW w:w="1080" w:type="dxa"/>
            <w:shd w:val="clear" w:color="auto" w:fill="D9D9D9" w:themeFill="background1" w:themeFillShade="D9"/>
            <w:vAlign w:val="center"/>
          </w:tcPr>
          <w:p w14:paraId="3BCFF3A8" w14:textId="77777777" w:rsidR="00A200C2" w:rsidRPr="00A200C2" w:rsidRDefault="00A200C2" w:rsidP="00242F27">
            <w:pPr>
              <w:spacing w:before="60" w:after="60"/>
              <w:jc w:val="center"/>
              <w:rPr>
                <w:color w:val="000000"/>
                <w:sz w:val="20"/>
                <w:szCs w:val="20"/>
              </w:rPr>
            </w:pPr>
          </w:p>
        </w:tc>
        <w:tc>
          <w:tcPr>
            <w:tcW w:w="2430" w:type="dxa"/>
            <w:shd w:val="clear" w:color="auto" w:fill="D9D9D9" w:themeFill="background1" w:themeFillShade="D9"/>
            <w:vAlign w:val="center"/>
          </w:tcPr>
          <w:p w14:paraId="33C34867" w14:textId="77777777" w:rsidR="00A200C2" w:rsidRPr="00A200C2" w:rsidRDefault="00A200C2" w:rsidP="00242F27">
            <w:pPr>
              <w:spacing w:before="60" w:after="60"/>
              <w:rPr>
                <w:color w:val="000000"/>
                <w:sz w:val="20"/>
                <w:szCs w:val="20"/>
              </w:rPr>
            </w:pPr>
          </w:p>
        </w:tc>
      </w:tr>
      <w:tr w:rsidR="00A200C2" w:rsidRPr="00A200C2" w14:paraId="1D051251" w14:textId="77777777" w:rsidTr="00962079">
        <w:trPr>
          <w:jc w:val="center"/>
        </w:trPr>
        <w:tc>
          <w:tcPr>
            <w:tcW w:w="2163" w:type="dxa"/>
            <w:vAlign w:val="center"/>
          </w:tcPr>
          <w:p w14:paraId="2CF721F2" w14:textId="77777777" w:rsidR="00A200C2" w:rsidRPr="00A200C2" w:rsidRDefault="00A200C2" w:rsidP="00242F27">
            <w:pPr>
              <w:spacing w:before="60" w:after="60"/>
              <w:rPr>
                <w:color w:val="000000"/>
                <w:sz w:val="20"/>
                <w:szCs w:val="20"/>
              </w:rPr>
            </w:pPr>
          </w:p>
        </w:tc>
        <w:tc>
          <w:tcPr>
            <w:tcW w:w="1167" w:type="dxa"/>
            <w:vAlign w:val="center"/>
          </w:tcPr>
          <w:p w14:paraId="1FDE1A28" w14:textId="77777777" w:rsidR="00A200C2" w:rsidRPr="00A200C2" w:rsidRDefault="00A200C2" w:rsidP="00242F27">
            <w:pPr>
              <w:spacing w:before="60" w:after="60"/>
              <w:jc w:val="center"/>
              <w:rPr>
                <w:color w:val="000000"/>
                <w:sz w:val="20"/>
                <w:szCs w:val="20"/>
              </w:rPr>
            </w:pPr>
          </w:p>
        </w:tc>
        <w:tc>
          <w:tcPr>
            <w:tcW w:w="2520" w:type="dxa"/>
            <w:vAlign w:val="center"/>
          </w:tcPr>
          <w:p w14:paraId="269E30D2" w14:textId="77777777" w:rsidR="00A200C2" w:rsidRPr="00A200C2" w:rsidRDefault="00A200C2" w:rsidP="00242F27">
            <w:pPr>
              <w:spacing w:before="60" w:after="60"/>
              <w:jc w:val="center"/>
              <w:rPr>
                <w:color w:val="000000"/>
                <w:sz w:val="20"/>
                <w:szCs w:val="20"/>
              </w:rPr>
            </w:pPr>
          </w:p>
        </w:tc>
        <w:tc>
          <w:tcPr>
            <w:tcW w:w="1080" w:type="dxa"/>
            <w:vAlign w:val="center"/>
          </w:tcPr>
          <w:p w14:paraId="1DC3BC49" w14:textId="77777777" w:rsidR="00A200C2" w:rsidRPr="00A200C2" w:rsidRDefault="00A200C2" w:rsidP="00242F27">
            <w:pPr>
              <w:spacing w:before="60" w:after="60"/>
              <w:jc w:val="center"/>
              <w:rPr>
                <w:color w:val="000000"/>
                <w:sz w:val="20"/>
                <w:szCs w:val="20"/>
              </w:rPr>
            </w:pPr>
          </w:p>
        </w:tc>
        <w:tc>
          <w:tcPr>
            <w:tcW w:w="2430" w:type="dxa"/>
            <w:vAlign w:val="center"/>
          </w:tcPr>
          <w:p w14:paraId="791B07BF" w14:textId="77777777" w:rsidR="00A200C2" w:rsidRPr="00A200C2" w:rsidRDefault="00A200C2" w:rsidP="00242F27">
            <w:pPr>
              <w:spacing w:before="60" w:after="60"/>
              <w:rPr>
                <w:color w:val="000000"/>
                <w:sz w:val="20"/>
                <w:szCs w:val="20"/>
              </w:rPr>
            </w:pPr>
          </w:p>
        </w:tc>
      </w:tr>
      <w:tr w:rsidR="00A200C2" w:rsidRPr="00A200C2" w14:paraId="2A84F1DB" w14:textId="77777777" w:rsidTr="00B4599B">
        <w:trPr>
          <w:jc w:val="center"/>
        </w:trPr>
        <w:tc>
          <w:tcPr>
            <w:tcW w:w="2163" w:type="dxa"/>
            <w:shd w:val="clear" w:color="auto" w:fill="D9D9D9" w:themeFill="background1" w:themeFillShade="D9"/>
            <w:vAlign w:val="center"/>
          </w:tcPr>
          <w:p w14:paraId="669C5E80" w14:textId="77777777" w:rsidR="00A200C2" w:rsidRPr="00A200C2" w:rsidRDefault="00A200C2" w:rsidP="00242F27">
            <w:pPr>
              <w:spacing w:before="60" w:after="60"/>
              <w:rPr>
                <w:color w:val="000000"/>
                <w:sz w:val="20"/>
                <w:szCs w:val="20"/>
              </w:rPr>
            </w:pPr>
          </w:p>
        </w:tc>
        <w:tc>
          <w:tcPr>
            <w:tcW w:w="1167" w:type="dxa"/>
            <w:shd w:val="clear" w:color="auto" w:fill="D9D9D9" w:themeFill="background1" w:themeFillShade="D9"/>
            <w:vAlign w:val="center"/>
          </w:tcPr>
          <w:p w14:paraId="17E253BB" w14:textId="77777777" w:rsidR="00A200C2" w:rsidRPr="00A200C2" w:rsidRDefault="00A200C2" w:rsidP="00242F27">
            <w:pPr>
              <w:spacing w:before="60" w:after="60"/>
              <w:jc w:val="center"/>
              <w:rPr>
                <w:color w:val="000000"/>
                <w:sz w:val="20"/>
                <w:szCs w:val="20"/>
              </w:rPr>
            </w:pPr>
          </w:p>
        </w:tc>
        <w:tc>
          <w:tcPr>
            <w:tcW w:w="2520" w:type="dxa"/>
            <w:shd w:val="clear" w:color="auto" w:fill="D9D9D9" w:themeFill="background1" w:themeFillShade="D9"/>
            <w:vAlign w:val="center"/>
          </w:tcPr>
          <w:p w14:paraId="60B2F0BE" w14:textId="77777777" w:rsidR="00A200C2" w:rsidRPr="00A200C2" w:rsidRDefault="00A200C2" w:rsidP="00242F27">
            <w:pPr>
              <w:spacing w:before="60" w:after="60"/>
              <w:jc w:val="center"/>
              <w:rPr>
                <w:color w:val="000000"/>
                <w:sz w:val="20"/>
                <w:szCs w:val="20"/>
              </w:rPr>
            </w:pPr>
          </w:p>
        </w:tc>
        <w:tc>
          <w:tcPr>
            <w:tcW w:w="1080" w:type="dxa"/>
            <w:shd w:val="clear" w:color="auto" w:fill="D9D9D9" w:themeFill="background1" w:themeFillShade="D9"/>
            <w:vAlign w:val="center"/>
          </w:tcPr>
          <w:p w14:paraId="4BCA919F" w14:textId="77777777" w:rsidR="00A200C2" w:rsidRPr="00A200C2" w:rsidRDefault="00A200C2" w:rsidP="00242F27">
            <w:pPr>
              <w:spacing w:before="60" w:after="60"/>
              <w:jc w:val="center"/>
              <w:rPr>
                <w:color w:val="000000"/>
                <w:sz w:val="20"/>
                <w:szCs w:val="20"/>
              </w:rPr>
            </w:pPr>
          </w:p>
        </w:tc>
        <w:tc>
          <w:tcPr>
            <w:tcW w:w="2430" w:type="dxa"/>
            <w:shd w:val="clear" w:color="auto" w:fill="D9D9D9" w:themeFill="background1" w:themeFillShade="D9"/>
            <w:vAlign w:val="center"/>
          </w:tcPr>
          <w:p w14:paraId="3541707B" w14:textId="77777777" w:rsidR="00A200C2" w:rsidRPr="00A200C2" w:rsidRDefault="00A200C2" w:rsidP="00242F27">
            <w:pPr>
              <w:spacing w:before="60" w:after="60"/>
              <w:rPr>
                <w:color w:val="000000"/>
                <w:sz w:val="20"/>
                <w:szCs w:val="20"/>
              </w:rPr>
            </w:pPr>
          </w:p>
        </w:tc>
      </w:tr>
      <w:tr w:rsidR="00A200C2" w:rsidRPr="00A200C2" w14:paraId="78235FA8" w14:textId="77777777" w:rsidTr="00962079">
        <w:trPr>
          <w:jc w:val="center"/>
        </w:trPr>
        <w:tc>
          <w:tcPr>
            <w:tcW w:w="2163" w:type="dxa"/>
            <w:vAlign w:val="center"/>
          </w:tcPr>
          <w:p w14:paraId="493F29DC" w14:textId="77777777" w:rsidR="00A200C2" w:rsidRPr="00A200C2" w:rsidRDefault="00A200C2" w:rsidP="00242F27">
            <w:pPr>
              <w:spacing w:before="60" w:after="60"/>
              <w:rPr>
                <w:color w:val="000000"/>
                <w:sz w:val="20"/>
                <w:szCs w:val="20"/>
              </w:rPr>
            </w:pPr>
          </w:p>
        </w:tc>
        <w:tc>
          <w:tcPr>
            <w:tcW w:w="1167" w:type="dxa"/>
            <w:vAlign w:val="center"/>
          </w:tcPr>
          <w:p w14:paraId="1735CBD2" w14:textId="77777777" w:rsidR="00A200C2" w:rsidRPr="00A200C2" w:rsidRDefault="00A200C2" w:rsidP="00242F27">
            <w:pPr>
              <w:spacing w:before="60" w:after="60"/>
              <w:jc w:val="center"/>
              <w:rPr>
                <w:color w:val="000000"/>
                <w:sz w:val="20"/>
                <w:szCs w:val="20"/>
              </w:rPr>
            </w:pPr>
          </w:p>
        </w:tc>
        <w:tc>
          <w:tcPr>
            <w:tcW w:w="2520" w:type="dxa"/>
            <w:vAlign w:val="center"/>
          </w:tcPr>
          <w:p w14:paraId="05D8E42D" w14:textId="77777777" w:rsidR="00A200C2" w:rsidRPr="00A200C2" w:rsidRDefault="00A200C2" w:rsidP="00242F27">
            <w:pPr>
              <w:spacing w:before="60" w:after="60"/>
              <w:jc w:val="center"/>
              <w:rPr>
                <w:color w:val="000000"/>
                <w:sz w:val="20"/>
                <w:szCs w:val="20"/>
              </w:rPr>
            </w:pPr>
          </w:p>
        </w:tc>
        <w:tc>
          <w:tcPr>
            <w:tcW w:w="1080" w:type="dxa"/>
            <w:vAlign w:val="center"/>
          </w:tcPr>
          <w:p w14:paraId="6CB63E41" w14:textId="77777777" w:rsidR="00A200C2" w:rsidRPr="00A200C2" w:rsidRDefault="00A200C2" w:rsidP="00242F27">
            <w:pPr>
              <w:spacing w:before="60" w:after="60"/>
              <w:jc w:val="center"/>
              <w:rPr>
                <w:color w:val="000000"/>
                <w:sz w:val="20"/>
                <w:szCs w:val="20"/>
              </w:rPr>
            </w:pPr>
          </w:p>
        </w:tc>
        <w:tc>
          <w:tcPr>
            <w:tcW w:w="2430" w:type="dxa"/>
            <w:vAlign w:val="center"/>
          </w:tcPr>
          <w:p w14:paraId="267F2E63" w14:textId="77777777" w:rsidR="00A200C2" w:rsidRPr="00A200C2" w:rsidRDefault="00A200C2" w:rsidP="00242F27">
            <w:pPr>
              <w:spacing w:before="60" w:after="60"/>
              <w:rPr>
                <w:color w:val="000000"/>
                <w:sz w:val="20"/>
                <w:szCs w:val="20"/>
              </w:rPr>
            </w:pPr>
          </w:p>
        </w:tc>
      </w:tr>
    </w:tbl>
    <w:p w14:paraId="5A165AEB" w14:textId="3CD6C2EC" w:rsidR="004F5DDF" w:rsidRDefault="004F5DDF" w:rsidP="00242F27">
      <w:pPr>
        <w:rPr>
          <w:highlight w:val="yellow"/>
        </w:rPr>
      </w:pPr>
    </w:p>
    <w:sectPr w:rsidR="004F5DDF" w:rsidSect="00242F27">
      <w:headerReference w:type="default" r:id="rId15"/>
      <w:footerReference w:type="default" r:id="rId16"/>
      <w:pgSz w:w="12240" w:h="15840" w:code="1"/>
      <w:pgMar w:top="576" w:right="720" w:bottom="720" w:left="72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D78B" w14:textId="77777777" w:rsidR="00E35EB3" w:rsidRDefault="00E35EB3" w:rsidP="003854B4">
      <w:r>
        <w:separator/>
      </w:r>
    </w:p>
  </w:endnote>
  <w:endnote w:type="continuationSeparator" w:id="0">
    <w:p w14:paraId="15ECEFDB" w14:textId="77777777" w:rsidR="00E35EB3" w:rsidRDefault="00E35EB3"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900A" w14:textId="77777777" w:rsidR="00E35EB3" w:rsidRDefault="00E35EB3" w:rsidP="006250FB">
    <w:r>
      <w:rPr>
        <w:noProof/>
      </w:rPr>
      <w:drawing>
        <wp:inline distT="0" distB="0" distL="0" distR="0" wp14:anchorId="2FE3EAF9" wp14:editId="55BA22B4">
          <wp:extent cx="6401435" cy="60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14:paraId="270FC400" w14:textId="37240D3A" w:rsidR="00E35EB3" w:rsidRPr="00350B8F" w:rsidRDefault="00E35EB3"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426DF1">
      <w:rPr>
        <w:noProof/>
      </w:rPr>
      <w:t>1</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426DF1">
      <w:rPr>
        <w:noProof/>
      </w:rPr>
      <w:t>1</w:t>
    </w:r>
    <w:r w:rsidRPr="00390E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0828" w14:textId="77777777" w:rsidR="00E35EB3" w:rsidRDefault="00E35EB3" w:rsidP="006250FB">
    <w:pPr>
      <w:ind w:right="360"/>
    </w:pPr>
    <w:r w:rsidRPr="000B1297">
      <w:rPr>
        <w:noProof/>
      </w:rPr>
      <w:drawing>
        <wp:inline distT="0" distB="0" distL="0" distR="0" wp14:anchorId="27C55357" wp14:editId="581B07E5">
          <wp:extent cx="6400800" cy="62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650CD293" w14:textId="77777777" w:rsidR="00E35EB3" w:rsidRPr="007C2786" w:rsidRDefault="00E35EB3"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A529" w14:textId="77777777" w:rsidR="00DC4B78" w:rsidRDefault="00DC4B78" w:rsidP="006250FB">
    <w:r>
      <w:rPr>
        <w:noProof/>
      </w:rPr>
      <w:drawing>
        <wp:inline distT="0" distB="0" distL="0" distR="0" wp14:anchorId="35D8A873" wp14:editId="53C32063">
          <wp:extent cx="6401435" cy="60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14:paraId="4F70CF97" w14:textId="32E6F25E" w:rsidR="00DC4B78" w:rsidRPr="00350B8F" w:rsidRDefault="00DC4B78"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242F27">
      <w:rPr>
        <w:noProof/>
      </w:rPr>
      <w:t>2</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242F27">
      <w:rPr>
        <w:noProof/>
      </w:rPr>
      <w:t>2</w:t>
    </w:r>
    <w:r w:rsidRPr="00390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F411" w14:textId="77777777" w:rsidR="00E35EB3" w:rsidRDefault="00E35EB3" w:rsidP="003854B4">
      <w:r>
        <w:separator/>
      </w:r>
    </w:p>
  </w:footnote>
  <w:footnote w:type="continuationSeparator" w:id="0">
    <w:p w14:paraId="7A5DF121" w14:textId="77777777" w:rsidR="00E35EB3" w:rsidRDefault="00E35EB3"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35EB3" w:rsidRPr="00CB33FD" w14:paraId="46580DA8" w14:textId="77777777" w:rsidTr="00E25E28">
      <w:trPr>
        <w:trHeight w:hRule="exact" w:val="432"/>
        <w:jc w:val="center"/>
      </w:trPr>
      <w:tc>
        <w:tcPr>
          <w:tcW w:w="2880" w:type="dxa"/>
          <w:vMerge w:val="restart"/>
        </w:tcPr>
        <w:p w14:paraId="33934321" w14:textId="77777777" w:rsidR="00E35EB3" w:rsidRPr="00082E44" w:rsidRDefault="00E35EB3" w:rsidP="006A376F">
          <w:r w:rsidRPr="006A376F">
            <w:rPr>
              <w:noProof/>
            </w:rPr>
            <w:drawing>
              <wp:inline distT="0" distB="0" distL="0" distR="0" wp14:anchorId="46012A82" wp14:editId="35C8A454">
                <wp:extent cx="27940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3383120B" w14:textId="0134B45D" w:rsidR="00E35EB3" w:rsidRPr="00D264C6" w:rsidRDefault="00E35EB3" w:rsidP="001027DF">
          <w:pPr>
            <w:pStyle w:val="Title"/>
          </w:pPr>
          <w:r>
            <w:t>Request for Information</w:t>
          </w:r>
        </w:p>
      </w:tc>
    </w:tr>
    <w:tr w:rsidR="00E35EB3" w:rsidRPr="00CB33FD" w14:paraId="492A971F" w14:textId="77777777" w:rsidTr="006A376F">
      <w:trPr>
        <w:trHeight w:hRule="exact" w:val="432"/>
        <w:jc w:val="center"/>
      </w:trPr>
      <w:tc>
        <w:tcPr>
          <w:tcW w:w="2880" w:type="dxa"/>
          <w:vMerge/>
        </w:tcPr>
        <w:p w14:paraId="3B10C1D2" w14:textId="77777777" w:rsidR="00E35EB3" w:rsidRPr="00082E44" w:rsidRDefault="00E35EB3" w:rsidP="006A376F"/>
      </w:tc>
      <w:tc>
        <w:tcPr>
          <w:tcW w:w="7200" w:type="dxa"/>
          <w:vAlign w:val="bottom"/>
        </w:tcPr>
        <w:p w14:paraId="0CE85C53" w14:textId="47AF99CC" w:rsidR="00E35EB3" w:rsidRPr="00E475C7" w:rsidRDefault="00E35EB3" w:rsidP="00A9528C">
          <w:pPr>
            <w:pStyle w:val="Sub-Title"/>
            <w:rPr>
              <w:rFonts w:asciiTheme="minorHAnsi" w:hAnsiTheme="minorHAnsi"/>
            </w:rPr>
          </w:pPr>
          <w:r>
            <w:rPr>
              <w:rFonts w:asciiTheme="minorHAnsi" w:hAnsiTheme="minorHAnsi"/>
            </w:rPr>
            <w:t xml:space="preserve">Discretionary Private </w:t>
          </w:r>
          <w:r w:rsidRPr="00E475C7">
            <w:rPr>
              <w:rFonts w:asciiTheme="minorHAnsi" w:hAnsiTheme="minorHAnsi"/>
            </w:rPr>
            <w:t>Equity Manager</w:t>
          </w:r>
        </w:p>
      </w:tc>
    </w:tr>
  </w:tbl>
  <w:p w14:paraId="01F4583B" w14:textId="77777777" w:rsidR="00E35EB3" w:rsidRPr="00F90CCC" w:rsidRDefault="00E35EB3" w:rsidP="006A376F">
    <w:pPr>
      <w:pStyle w:val="Heading8"/>
      <w:spacing w:before="0"/>
      <w:rPr>
        <w:rFonts w:eastAsia="Calibri"/>
      </w:rPr>
    </w:pPr>
    <w:r w:rsidRPr="00E25E28">
      <w:rPr>
        <w:noProof/>
        <w:sz w:val="22"/>
        <w:szCs w:val="22"/>
      </w:rPr>
      <w:drawing>
        <wp:inline distT="0" distB="0" distL="0" distR="0" wp14:anchorId="6D5501F4" wp14:editId="7138ECDE">
          <wp:extent cx="6400800" cy="4572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15E98C5A" w14:textId="77777777" w:rsidR="00E35EB3" w:rsidRPr="00D264C6" w:rsidRDefault="00E35EB3"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35EB3" w:rsidRPr="00CB33FD" w14:paraId="42A37A4F" w14:textId="77777777" w:rsidTr="00E25E28">
      <w:trPr>
        <w:trHeight w:hRule="exact" w:val="432"/>
        <w:jc w:val="center"/>
      </w:trPr>
      <w:tc>
        <w:tcPr>
          <w:tcW w:w="2880" w:type="dxa"/>
          <w:vMerge w:val="restart"/>
        </w:tcPr>
        <w:p w14:paraId="5CE73F0B" w14:textId="77777777" w:rsidR="00E35EB3" w:rsidRPr="00082E44" w:rsidRDefault="00E35EB3" w:rsidP="00D264C6">
          <w:r w:rsidRPr="000E75A0">
            <w:rPr>
              <w:noProof/>
            </w:rPr>
            <w:drawing>
              <wp:inline distT="0" distB="0" distL="0" distR="0" wp14:anchorId="60D241D5" wp14:editId="7D347E8A">
                <wp:extent cx="1261872" cy="4663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E6A64A3" w14:textId="5E0CBF29" w:rsidR="00E35EB3" w:rsidRPr="00D264C6" w:rsidRDefault="00E35EB3" w:rsidP="006D45B8">
          <w:pPr>
            <w:pStyle w:val="Title"/>
          </w:pPr>
          <w:r>
            <w:t>Request for Information</w:t>
          </w:r>
        </w:p>
      </w:tc>
    </w:tr>
    <w:tr w:rsidR="00E35EB3" w:rsidRPr="00CB33FD" w14:paraId="47C74A44" w14:textId="77777777" w:rsidTr="006A376F">
      <w:trPr>
        <w:trHeight w:hRule="exact" w:val="432"/>
        <w:jc w:val="center"/>
      </w:trPr>
      <w:tc>
        <w:tcPr>
          <w:tcW w:w="2880" w:type="dxa"/>
          <w:vMerge/>
        </w:tcPr>
        <w:p w14:paraId="14981247" w14:textId="77777777" w:rsidR="00E35EB3" w:rsidRPr="00082E44" w:rsidRDefault="00E35EB3" w:rsidP="00D264C6"/>
      </w:tc>
      <w:tc>
        <w:tcPr>
          <w:tcW w:w="7200" w:type="dxa"/>
          <w:vAlign w:val="bottom"/>
        </w:tcPr>
        <w:p w14:paraId="2901DEA6" w14:textId="3DEAAACA" w:rsidR="00E35EB3" w:rsidRPr="006A376F" w:rsidRDefault="00E35EB3" w:rsidP="00EA677A">
          <w:pPr>
            <w:pStyle w:val="Sub-Title"/>
          </w:pPr>
          <w:r>
            <w:t>Discretionary Private Equity Manager</w:t>
          </w:r>
        </w:p>
      </w:tc>
    </w:tr>
  </w:tbl>
  <w:p w14:paraId="4378E2E0" w14:textId="77777777" w:rsidR="00E35EB3" w:rsidRPr="00E25E28" w:rsidRDefault="00E35EB3" w:rsidP="00D264C6">
    <w:pPr>
      <w:pStyle w:val="Heading8"/>
      <w:spacing w:before="0"/>
      <w:rPr>
        <w:rFonts w:eastAsia="Calibri"/>
        <w:sz w:val="22"/>
        <w:szCs w:val="22"/>
      </w:rPr>
    </w:pPr>
    <w:r w:rsidRPr="00E25E28">
      <w:rPr>
        <w:noProof/>
        <w:sz w:val="22"/>
        <w:szCs w:val="22"/>
      </w:rPr>
      <w:drawing>
        <wp:inline distT="0" distB="0" distL="0" distR="0" wp14:anchorId="61E75F21" wp14:editId="04395D84">
          <wp:extent cx="6400800" cy="4572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FA492DB" w14:textId="77777777" w:rsidR="00E35EB3" w:rsidRPr="00D264C6" w:rsidRDefault="00E35EB3" w:rsidP="00D2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35EB3" w:rsidRPr="00CB33FD" w14:paraId="24BB83D8" w14:textId="77777777" w:rsidTr="00E25E28">
      <w:trPr>
        <w:trHeight w:hRule="exact" w:val="432"/>
        <w:jc w:val="center"/>
      </w:trPr>
      <w:tc>
        <w:tcPr>
          <w:tcW w:w="2880" w:type="dxa"/>
          <w:vMerge w:val="restart"/>
        </w:tcPr>
        <w:p w14:paraId="55248686" w14:textId="77777777" w:rsidR="00E35EB3" w:rsidRPr="00082E44" w:rsidRDefault="00E35EB3" w:rsidP="006A376F">
          <w:r w:rsidRPr="006A376F">
            <w:rPr>
              <w:noProof/>
            </w:rPr>
            <w:drawing>
              <wp:inline distT="0" distB="0" distL="0" distR="0" wp14:anchorId="0108E075" wp14:editId="4C97995B">
                <wp:extent cx="2794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7549A13C" w14:textId="77777777" w:rsidR="00E35EB3" w:rsidRPr="00D264C6" w:rsidRDefault="00E35EB3" w:rsidP="001027DF">
          <w:pPr>
            <w:pStyle w:val="Title"/>
          </w:pPr>
          <w:r>
            <w:t>Request for Information</w:t>
          </w:r>
        </w:p>
      </w:tc>
    </w:tr>
    <w:tr w:rsidR="00E35EB3" w:rsidRPr="00CB33FD" w14:paraId="5A62046A" w14:textId="77777777" w:rsidTr="006A376F">
      <w:trPr>
        <w:trHeight w:hRule="exact" w:val="432"/>
        <w:jc w:val="center"/>
      </w:trPr>
      <w:tc>
        <w:tcPr>
          <w:tcW w:w="2880" w:type="dxa"/>
          <w:vMerge/>
        </w:tcPr>
        <w:p w14:paraId="48BDB17C" w14:textId="77777777" w:rsidR="00E35EB3" w:rsidRPr="00082E44" w:rsidRDefault="00E35EB3" w:rsidP="006A376F"/>
      </w:tc>
      <w:tc>
        <w:tcPr>
          <w:tcW w:w="7200" w:type="dxa"/>
          <w:vAlign w:val="bottom"/>
        </w:tcPr>
        <w:p w14:paraId="304ECED8" w14:textId="77777777" w:rsidR="00E35EB3" w:rsidRPr="00E475C7" w:rsidRDefault="00E35EB3" w:rsidP="00A9528C">
          <w:pPr>
            <w:pStyle w:val="Sub-Title"/>
            <w:rPr>
              <w:rFonts w:asciiTheme="minorHAnsi" w:hAnsiTheme="minorHAnsi"/>
            </w:rPr>
          </w:pPr>
          <w:r>
            <w:rPr>
              <w:rFonts w:asciiTheme="minorHAnsi" w:hAnsiTheme="minorHAnsi"/>
            </w:rPr>
            <w:t xml:space="preserve">Discretionary Private </w:t>
          </w:r>
          <w:r w:rsidRPr="00E475C7">
            <w:rPr>
              <w:rFonts w:asciiTheme="minorHAnsi" w:hAnsiTheme="minorHAnsi"/>
            </w:rPr>
            <w:t>Equity Manager</w:t>
          </w:r>
        </w:p>
      </w:tc>
    </w:tr>
  </w:tbl>
  <w:p w14:paraId="7D504F70" w14:textId="77777777" w:rsidR="00E35EB3" w:rsidRPr="00F90CCC" w:rsidRDefault="00E35EB3" w:rsidP="006A376F">
    <w:pPr>
      <w:pStyle w:val="Heading8"/>
      <w:spacing w:before="0"/>
      <w:rPr>
        <w:rFonts w:eastAsia="Calibri"/>
      </w:rPr>
    </w:pPr>
    <w:r w:rsidRPr="00E25E28">
      <w:rPr>
        <w:noProof/>
        <w:sz w:val="22"/>
        <w:szCs w:val="22"/>
      </w:rPr>
      <w:drawing>
        <wp:inline distT="0" distB="0" distL="0" distR="0" wp14:anchorId="6EE32261" wp14:editId="1AAAE53E">
          <wp:extent cx="6400800" cy="4572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0D048256" w14:textId="77777777" w:rsidR="00E35EB3" w:rsidRPr="00D264C6" w:rsidRDefault="00E35EB3" w:rsidP="006A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99"/>
    <w:multiLevelType w:val="hybridMultilevel"/>
    <w:tmpl w:val="85EAD0CC"/>
    <w:lvl w:ilvl="0" w:tplc="5F78E7A6">
      <w:start w:val="1"/>
      <w:numFmt w:val="upperLetter"/>
      <w:lvlText w:val="%1."/>
      <w:lvlJc w:val="left"/>
      <w:pPr>
        <w:tabs>
          <w:tab w:val="num" w:pos="720"/>
        </w:tabs>
        <w:ind w:left="720" w:hanging="360"/>
      </w:pPr>
      <w:rPr>
        <w:color w:val="015E8F"/>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74E19"/>
    <w:multiLevelType w:val="hybridMultilevel"/>
    <w:tmpl w:val="8F7E388A"/>
    <w:lvl w:ilvl="0" w:tplc="76A045AA">
      <w:start w:val="1"/>
      <w:numFmt w:val="decimal"/>
      <w:lvlText w:val="%1."/>
      <w:lvlJc w:val="left"/>
      <w:pPr>
        <w:ind w:left="720" w:hanging="360"/>
      </w:pPr>
      <w:rPr>
        <w:rFonts w:hint="default"/>
        <w:color w:val="015E8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77BC4"/>
    <w:multiLevelType w:val="hybridMultilevel"/>
    <w:tmpl w:val="D94E3566"/>
    <w:lvl w:ilvl="0" w:tplc="76A045AA">
      <w:start w:val="1"/>
      <w:numFmt w:val="decimal"/>
      <w:lvlText w:val="%1."/>
      <w:lvlJc w:val="left"/>
      <w:pPr>
        <w:ind w:left="720" w:hanging="360"/>
      </w:pPr>
      <w:rPr>
        <w:rFonts w:hint="default"/>
        <w:color w:val="015E8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10" w15:restartNumberingAfterBreak="0">
    <w:nsid w:val="2F254DC9"/>
    <w:multiLevelType w:val="hybridMultilevel"/>
    <w:tmpl w:val="CCA46336"/>
    <w:lvl w:ilvl="0" w:tplc="76A045AA">
      <w:start w:val="1"/>
      <w:numFmt w:val="decimal"/>
      <w:lvlText w:val="%1."/>
      <w:lvlJc w:val="left"/>
      <w:pPr>
        <w:ind w:left="720" w:hanging="360"/>
      </w:pPr>
      <w:rPr>
        <w:rFonts w:hint="default"/>
        <w:color w:val="015E8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70E36"/>
    <w:multiLevelType w:val="hybridMultilevel"/>
    <w:tmpl w:val="7C4CE534"/>
    <w:lvl w:ilvl="0" w:tplc="76A045AA">
      <w:start w:val="1"/>
      <w:numFmt w:val="decimal"/>
      <w:lvlText w:val="%1."/>
      <w:lvlJc w:val="left"/>
      <w:pPr>
        <w:tabs>
          <w:tab w:val="num" w:pos="720"/>
        </w:tabs>
        <w:ind w:left="720" w:hanging="360"/>
      </w:pPr>
      <w:rPr>
        <w:rFonts w:hint="default"/>
        <w:color w:val="015E8F" w:themeColor="text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5D157C8"/>
    <w:multiLevelType w:val="hybridMultilevel"/>
    <w:tmpl w:val="2D08DC3C"/>
    <w:lvl w:ilvl="0" w:tplc="76A045A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95817A4"/>
    <w:multiLevelType w:val="hybridMultilevel"/>
    <w:tmpl w:val="3EA6C610"/>
    <w:lvl w:ilvl="0" w:tplc="76A045AA">
      <w:start w:val="1"/>
      <w:numFmt w:val="decimal"/>
      <w:lvlText w:val="%1."/>
      <w:lvlJc w:val="left"/>
      <w:pPr>
        <w:ind w:left="720" w:hanging="360"/>
      </w:pPr>
      <w:rPr>
        <w:rFonts w:hint="default"/>
        <w:color w:val="015E8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807FC"/>
    <w:multiLevelType w:val="hybridMultilevel"/>
    <w:tmpl w:val="ED6CE66C"/>
    <w:lvl w:ilvl="0" w:tplc="0409000F">
      <w:start w:val="1"/>
      <w:numFmt w:val="decimal"/>
      <w:lvlText w:val="%1."/>
      <w:lvlJc w:val="left"/>
      <w:pPr>
        <w:tabs>
          <w:tab w:val="num" w:pos="1080"/>
        </w:tabs>
        <w:ind w:left="1080" w:hanging="360"/>
      </w:pPr>
      <w:rPr>
        <w:rFonts w:hint="default"/>
        <w:color w:val="015E8F" w:themeColor="text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908BD"/>
    <w:multiLevelType w:val="hybridMultilevel"/>
    <w:tmpl w:val="5B4260C2"/>
    <w:lvl w:ilvl="0" w:tplc="0409000F">
      <w:start w:val="1"/>
      <w:numFmt w:val="decimal"/>
      <w:lvlText w:val="%1."/>
      <w:lvlJc w:val="left"/>
      <w:pPr>
        <w:ind w:left="720" w:hanging="360"/>
      </w:pPr>
      <w:rPr>
        <w:rFonts w:hint="default"/>
        <w:color w:val="015E8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5"/>
  </w:num>
  <w:num w:numId="4">
    <w:abstractNumId w:val="3"/>
  </w:num>
  <w:num w:numId="5">
    <w:abstractNumId w:val="11"/>
  </w:num>
  <w:num w:numId="6">
    <w:abstractNumId w:val="23"/>
  </w:num>
  <w:num w:numId="7">
    <w:abstractNumId w:val="6"/>
  </w:num>
  <w:num w:numId="8">
    <w:abstractNumId w:val="11"/>
  </w:num>
  <w:num w:numId="9">
    <w:abstractNumId w:val="23"/>
  </w:num>
  <w:num w:numId="10">
    <w:abstractNumId w:val="6"/>
  </w:num>
  <w:num w:numId="11">
    <w:abstractNumId w:val="11"/>
  </w:num>
  <w:num w:numId="12">
    <w:abstractNumId w:val="23"/>
  </w:num>
  <w:num w:numId="13">
    <w:abstractNumId w:val="6"/>
  </w:num>
  <w:num w:numId="14">
    <w:abstractNumId w:val="11"/>
  </w:num>
  <w:num w:numId="15">
    <w:abstractNumId w:val="23"/>
  </w:num>
  <w:num w:numId="16">
    <w:abstractNumId w:val="6"/>
  </w:num>
  <w:num w:numId="17">
    <w:abstractNumId w:val="11"/>
  </w:num>
  <w:num w:numId="18">
    <w:abstractNumId w:val="23"/>
  </w:num>
  <w:num w:numId="19">
    <w:abstractNumId w:val="6"/>
  </w:num>
  <w:num w:numId="20">
    <w:abstractNumId w:val="17"/>
  </w:num>
  <w:num w:numId="21">
    <w:abstractNumId w:val="18"/>
  </w:num>
  <w:num w:numId="22">
    <w:abstractNumId w:val="15"/>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
  </w:num>
  <w:num w:numId="29">
    <w:abstractNumId w:val="24"/>
  </w:num>
  <w:num w:numId="30">
    <w:abstractNumId w:val="9"/>
  </w:num>
  <w:num w:numId="31">
    <w:abstractNumId w:val="4"/>
  </w:num>
  <w:num w:numId="32">
    <w:abstractNumId w:val="21"/>
  </w:num>
  <w:num w:numId="33">
    <w:abstractNumId w:val="0"/>
  </w:num>
  <w:num w:numId="34">
    <w:abstractNumId w:val="7"/>
  </w:num>
  <w:num w:numId="35">
    <w:abstractNumId w:val="0"/>
  </w:num>
  <w:num w:numId="36">
    <w:abstractNumId w:val="19"/>
  </w:num>
  <w:num w:numId="37">
    <w:abstractNumId w:val="13"/>
  </w:num>
  <w:num w:numId="38">
    <w:abstractNumId w:val="5"/>
  </w:num>
  <w:num w:numId="39">
    <w:abstractNumId w:val="10"/>
  </w:num>
  <w:num w:numId="40">
    <w:abstractNumId w:val="1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475C7"/>
    <w:rsid w:val="0000103E"/>
    <w:rsid w:val="00013A5B"/>
    <w:rsid w:val="00030087"/>
    <w:rsid w:val="00041C20"/>
    <w:rsid w:val="0004704E"/>
    <w:rsid w:val="00060086"/>
    <w:rsid w:val="000645D6"/>
    <w:rsid w:val="00066CF9"/>
    <w:rsid w:val="00070546"/>
    <w:rsid w:val="000858D4"/>
    <w:rsid w:val="00097FB1"/>
    <w:rsid w:val="000A3ADA"/>
    <w:rsid w:val="000D30B8"/>
    <w:rsid w:val="000D49CB"/>
    <w:rsid w:val="000F556F"/>
    <w:rsid w:val="0010089C"/>
    <w:rsid w:val="001027DF"/>
    <w:rsid w:val="0011207A"/>
    <w:rsid w:val="00117E01"/>
    <w:rsid w:val="0012649E"/>
    <w:rsid w:val="0018073F"/>
    <w:rsid w:val="001966AD"/>
    <w:rsid w:val="001A2E31"/>
    <w:rsid w:val="001A5305"/>
    <w:rsid w:val="001B3802"/>
    <w:rsid w:val="001C2A87"/>
    <w:rsid w:val="001E2774"/>
    <w:rsid w:val="001E792F"/>
    <w:rsid w:val="001F11D6"/>
    <w:rsid w:val="00204D81"/>
    <w:rsid w:val="00214174"/>
    <w:rsid w:val="00214FDB"/>
    <w:rsid w:val="002258C7"/>
    <w:rsid w:val="00235515"/>
    <w:rsid w:val="00242F27"/>
    <w:rsid w:val="00247B80"/>
    <w:rsid w:val="00251904"/>
    <w:rsid w:val="00252C27"/>
    <w:rsid w:val="00253887"/>
    <w:rsid w:val="00296FA8"/>
    <w:rsid w:val="002B68F6"/>
    <w:rsid w:val="002D791F"/>
    <w:rsid w:val="002F6700"/>
    <w:rsid w:val="00314C0B"/>
    <w:rsid w:val="003400CD"/>
    <w:rsid w:val="00341286"/>
    <w:rsid w:val="003415D6"/>
    <w:rsid w:val="00367092"/>
    <w:rsid w:val="0037068A"/>
    <w:rsid w:val="003854B4"/>
    <w:rsid w:val="00390EF3"/>
    <w:rsid w:val="003A0E35"/>
    <w:rsid w:val="003B056B"/>
    <w:rsid w:val="003C65DE"/>
    <w:rsid w:val="003D23EE"/>
    <w:rsid w:val="004071B5"/>
    <w:rsid w:val="00414052"/>
    <w:rsid w:val="00423BE2"/>
    <w:rsid w:val="00426DF1"/>
    <w:rsid w:val="004406EE"/>
    <w:rsid w:val="004822F2"/>
    <w:rsid w:val="00482D94"/>
    <w:rsid w:val="00491450"/>
    <w:rsid w:val="004C4037"/>
    <w:rsid w:val="004C7470"/>
    <w:rsid w:val="004D4C78"/>
    <w:rsid w:val="004E253F"/>
    <w:rsid w:val="004E6B39"/>
    <w:rsid w:val="004F5DDF"/>
    <w:rsid w:val="0050047E"/>
    <w:rsid w:val="00522DA9"/>
    <w:rsid w:val="0053627B"/>
    <w:rsid w:val="00543DC3"/>
    <w:rsid w:val="005653BC"/>
    <w:rsid w:val="00582953"/>
    <w:rsid w:val="00593068"/>
    <w:rsid w:val="005969EA"/>
    <w:rsid w:val="005C36B2"/>
    <w:rsid w:val="005E19CE"/>
    <w:rsid w:val="005F5545"/>
    <w:rsid w:val="005F6078"/>
    <w:rsid w:val="006126F2"/>
    <w:rsid w:val="006250FB"/>
    <w:rsid w:val="006564E5"/>
    <w:rsid w:val="00672A4E"/>
    <w:rsid w:val="00677D38"/>
    <w:rsid w:val="00680F0B"/>
    <w:rsid w:val="006853BE"/>
    <w:rsid w:val="00697460"/>
    <w:rsid w:val="006A376F"/>
    <w:rsid w:val="006A3819"/>
    <w:rsid w:val="006D45B8"/>
    <w:rsid w:val="00707E68"/>
    <w:rsid w:val="0071225E"/>
    <w:rsid w:val="007226D2"/>
    <w:rsid w:val="00742503"/>
    <w:rsid w:val="0074332C"/>
    <w:rsid w:val="007B1D48"/>
    <w:rsid w:val="007B58E5"/>
    <w:rsid w:val="007C1B56"/>
    <w:rsid w:val="007E2B15"/>
    <w:rsid w:val="00800B75"/>
    <w:rsid w:val="00800FB4"/>
    <w:rsid w:val="00825C5B"/>
    <w:rsid w:val="00860DCF"/>
    <w:rsid w:val="0089286F"/>
    <w:rsid w:val="00892E2B"/>
    <w:rsid w:val="008A2673"/>
    <w:rsid w:val="008A5B37"/>
    <w:rsid w:val="008B554C"/>
    <w:rsid w:val="008F65D6"/>
    <w:rsid w:val="00910296"/>
    <w:rsid w:val="0093274C"/>
    <w:rsid w:val="00942C55"/>
    <w:rsid w:val="00950995"/>
    <w:rsid w:val="00961FB0"/>
    <w:rsid w:val="00962079"/>
    <w:rsid w:val="00967A05"/>
    <w:rsid w:val="00971079"/>
    <w:rsid w:val="009719C7"/>
    <w:rsid w:val="00972F4B"/>
    <w:rsid w:val="00982E91"/>
    <w:rsid w:val="00992483"/>
    <w:rsid w:val="009A5361"/>
    <w:rsid w:val="009B007A"/>
    <w:rsid w:val="009C2CEF"/>
    <w:rsid w:val="009C2F98"/>
    <w:rsid w:val="009C33CB"/>
    <w:rsid w:val="009C61F6"/>
    <w:rsid w:val="009D7BA9"/>
    <w:rsid w:val="00A13796"/>
    <w:rsid w:val="00A200C2"/>
    <w:rsid w:val="00A32F3F"/>
    <w:rsid w:val="00A5735D"/>
    <w:rsid w:val="00A64B0E"/>
    <w:rsid w:val="00A747D7"/>
    <w:rsid w:val="00A933E0"/>
    <w:rsid w:val="00A9511C"/>
    <w:rsid w:val="00A9528C"/>
    <w:rsid w:val="00AB4ACE"/>
    <w:rsid w:val="00AB6418"/>
    <w:rsid w:val="00AD23AF"/>
    <w:rsid w:val="00AD7F3A"/>
    <w:rsid w:val="00AF3E32"/>
    <w:rsid w:val="00AF3F13"/>
    <w:rsid w:val="00B0106B"/>
    <w:rsid w:val="00B33A31"/>
    <w:rsid w:val="00B3783D"/>
    <w:rsid w:val="00B4599B"/>
    <w:rsid w:val="00B76F18"/>
    <w:rsid w:val="00B95E84"/>
    <w:rsid w:val="00BA22DB"/>
    <w:rsid w:val="00BB63F7"/>
    <w:rsid w:val="00BB787E"/>
    <w:rsid w:val="00C036DA"/>
    <w:rsid w:val="00C13C63"/>
    <w:rsid w:val="00C157C3"/>
    <w:rsid w:val="00C3626F"/>
    <w:rsid w:val="00C41179"/>
    <w:rsid w:val="00C47C02"/>
    <w:rsid w:val="00C60FC7"/>
    <w:rsid w:val="00C67EFD"/>
    <w:rsid w:val="00C77EFC"/>
    <w:rsid w:val="00CF154C"/>
    <w:rsid w:val="00D00CD0"/>
    <w:rsid w:val="00D016CA"/>
    <w:rsid w:val="00D036DF"/>
    <w:rsid w:val="00D21256"/>
    <w:rsid w:val="00D264C6"/>
    <w:rsid w:val="00D27147"/>
    <w:rsid w:val="00D34EAB"/>
    <w:rsid w:val="00D446C0"/>
    <w:rsid w:val="00D822EA"/>
    <w:rsid w:val="00D94791"/>
    <w:rsid w:val="00D97959"/>
    <w:rsid w:val="00DA20DD"/>
    <w:rsid w:val="00DC4B78"/>
    <w:rsid w:val="00DD011E"/>
    <w:rsid w:val="00DE44C8"/>
    <w:rsid w:val="00DF57D9"/>
    <w:rsid w:val="00E12A03"/>
    <w:rsid w:val="00E1446B"/>
    <w:rsid w:val="00E24372"/>
    <w:rsid w:val="00E25E28"/>
    <w:rsid w:val="00E345E7"/>
    <w:rsid w:val="00E35EB3"/>
    <w:rsid w:val="00E37A7C"/>
    <w:rsid w:val="00E400BC"/>
    <w:rsid w:val="00E475C7"/>
    <w:rsid w:val="00E77340"/>
    <w:rsid w:val="00E85AB7"/>
    <w:rsid w:val="00E861E5"/>
    <w:rsid w:val="00EA6106"/>
    <w:rsid w:val="00EA677A"/>
    <w:rsid w:val="00ED69DB"/>
    <w:rsid w:val="00EF5984"/>
    <w:rsid w:val="00F035E6"/>
    <w:rsid w:val="00F13936"/>
    <w:rsid w:val="00F14A75"/>
    <w:rsid w:val="00F166CD"/>
    <w:rsid w:val="00F16912"/>
    <w:rsid w:val="00F34CBA"/>
    <w:rsid w:val="00F57A2E"/>
    <w:rsid w:val="00F82135"/>
    <w:rsid w:val="00F93F78"/>
    <w:rsid w:val="00FB3D87"/>
    <w:rsid w:val="00FB41F0"/>
    <w:rsid w:val="00FC5921"/>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79DA19"/>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296FA8"/>
    <w:pPr>
      <w:spacing w:before="240"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296FA8"/>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 w:type="paragraph" w:customStyle="1" w:styleId="B1">
    <w:name w:val="B1"/>
    <w:basedOn w:val="Normal"/>
    <w:link w:val="B1Char"/>
    <w:qFormat/>
    <w:rsid w:val="00247B80"/>
    <w:pPr>
      <w:autoSpaceDE w:val="0"/>
      <w:autoSpaceDN w:val="0"/>
      <w:spacing w:before="120"/>
      <w:ind w:right="360"/>
    </w:pPr>
    <w:rPr>
      <w:rFonts w:eastAsiaTheme="minorHAnsi"/>
      <w:color w:val="000000"/>
      <w:sz w:val="24"/>
      <w:szCs w:val="24"/>
    </w:rPr>
  </w:style>
  <w:style w:type="character" w:customStyle="1" w:styleId="B1Char">
    <w:name w:val="B1 Char"/>
    <w:basedOn w:val="DefaultParagraphFont"/>
    <w:link w:val="B1"/>
    <w:rsid w:val="00247B80"/>
    <w:rPr>
      <w:rFonts w:eastAsiaTheme="minorHAnsi"/>
      <w:color w:val="000000"/>
      <w:sz w:val="24"/>
      <w:szCs w:val="24"/>
    </w:rPr>
  </w:style>
  <w:style w:type="paragraph" w:customStyle="1" w:styleId="A1">
    <w:name w:val="A1"/>
    <w:basedOn w:val="Normal"/>
    <w:link w:val="A1Char"/>
    <w:qFormat/>
    <w:rsid w:val="001027DF"/>
    <w:pPr>
      <w:tabs>
        <w:tab w:val="num" w:pos="1080"/>
      </w:tabs>
      <w:autoSpaceDE w:val="0"/>
      <w:autoSpaceDN w:val="0"/>
      <w:spacing w:before="120"/>
      <w:ind w:left="720" w:right="360" w:hanging="360"/>
    </w:pPr>
    <w:rPr>
      <w:rFonts w:eastAsiaTheme="minorHAnsi"/>
      <w:color w:val="000000"/>
      <w:sz w:val="24"/>
      <w:szCs w:val="24"/>
    </w:rPr>
  </w:style>
  <w:style w:type="character" w:customStyle="1" w:styleId="A1Char">
    <w:name w:val="A1 Char"/>
    <w:basedOn w:val="DefaultParagraphFont"/>
    <w:link w:val="A1"/>
    <w:rsid w:val="001027DF"/>
    <w:rPr>
      <w:rFonts w:eastAsiaTheme="minorHAnsi"/>
      <w:color w:val="000000"/>
      <w:sz w:val="24"/>
      <w:szCs w:val="24"/>
    </w:rPr>
  </w:style>
  <w:style w:type="character" w:styleId="CommentReference">
    <w:name w:val="annotation reference"/>
    <w:basedOn w:val="DefaultParagraphFont"/>
    <w:uiPriority w:val="99"/>
    <w:semiHidden/>
    <w:unhideWhenUsed/>
    <w:rsid w:val="00BB787E"/>
    <w:rPr>
      <w:sz w:val="16"/>
      <w:szCs w:val="16"/>
    </w:rPr>
  </w:style>
  <w:style w:type="paragraph" w:styleId="CommentText">
    <w:name w:val="annotation text"/>
    <w:basedOn w:val="Normal"/>
    <w:link w:val="CommentTextChar"/>
    <w:uiPriority w:val="99"/>
    <w:semiHidden/>
    <w:unhideWhenUsed/>
    <w:rsid w:val="00BB787E"/>
    <w:rPr>
      <w:sz w:val="20"/>
      <w:szCs w:val="20"/>
    </w:rPr>
  </w:style>
  <w:style w:type="character" w:customStyle="1" w:styleId="CommentTextChar">
    <w:name w:val="Comment Text Char"/>
    <w:basedOn w:val="DefaultParagraphFont"/>
    <w:link w:val="CommentText"/>
    <w:uiPriority w:val="99"/>
    <w:semiHidden/>
    <w:rsid w:val="00BB787E"/>
    <w:rPr>
      <w:sz w:val="20"/>
      <w:szCs w:val="20"/>
    </w:rPr>
  </w:style>
  <w:style w:type="paragraph" w:styleId="CommentSubject">
    <w:name w:val="annotation subject"/>
    <w:basedOn w:val="CommentText"/>
    <w:next w:val="CommentText"/>
    <w:link w:val="CommentSubjectChar"/>
    <w:uiPriority w:val="99"/>
    <w:semiHidden/>
    <w:unhideWhenUsed/>
    <w:rsid w:val="00BB787E"/>
    <w:rPr>
      <w:b/>
      <w:bCs/>
    </w:rPr>
  </w:style>
  <w:style w:type="character" w:customStyle="1" w:styleId="CommentSubjectChar">
    <w:name w:val="Comment Subject Char"/>
    <w:basedOn w:val="CommentTextChar"/>
    <w:link w:val="CommentSubject"/>
    <w:uiPriority w:val="99"/>
    <w:semiHidden/>
    <w:rsid w:val="00BB7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sponse@meket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chan@meketa.com" TargetMode="External"/><Relationship Id="rId4" Type="http://schemas.openxmlformats.org/officeDocument/2006/relationships/settings" Target="settings.xml"/><Relationship Id="rId9" Type="http://schemas.openxmlformats.org/officeDocument/2006/relationships/hyperlink" Target="mailto:spanthi@meket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D590-DCC6-408C-9817-D1AA82D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6</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Daniel Dynan</dc:creator>
  <cp:keywords/>
  <dc:description/>
  <cp:lastModifiedBy>Orianna Grillo</cp:lastModifiedBy>
  <cp:revision>2</cp:revision>
  <cp:lastPrinted>2019-09-27T16:32:00Z</cp:lastPrinted>
  <dcterms:created xsi:type="dcterms:W3CDTF">2021-08-31T17:54:00Z</dcterms:created>
  <dcterms:modified xsi:type="dcterms:W3CDTF">2021-08-31T17:54:00Z</dcterms:modified>
</cp:coreProperties>
</file>