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61138" w14:textId="77777777" w:rsidR="00326FAA" w:rsidRDefault="00326FAA" w:rsidP="004C49F4">
      <w:pPr>
        <w:spacing w:before="1320" w:after="960"/>
        <w:rPr>
          <w:b/>
          <w:sz w:val="56"/>
          <w:szCs w:val="56"/>
        </w:rPr>
      </w:pPr>
      <w:r>
        <w:rPr>
          <w:noProof/>
        </w:rPr>
        <w:drawing>
          <wp:anchor distT="0" distB="0" distL="114300" distR="114300" simplePos="0" relativeHeight="251659264" behindDoc="0" locked="0" layoutInCell="1" allowOverlap="1" wp14:anchorId="54D37F9D" wp14:editId="50D38659">
            <wp:simplePos x="0" y="0"/>
            <wp:positionH relativeFrom="column">
              <wp:posOffset>628650</wp:posOffset>
            </wp:positionH>
            <wp:positionV relativeFrom="paragraph">
              <wp:posOffset>1828800</wp:posOffset>
            </wp:positionV>
            <wp:extent cx="4362450" cy="1504950"/>
            <wp:effectExtent l="0" t="0" r="0" b="0"/>
            <wp:wrapTopAndBottom/>
            <wp:docPr id="1" name="Picture 1" descr="SURSlogo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Slogomas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24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4E81">
        <w:rPr>
          <w:b/>
          <w:sz w:val="56"/>
          <w:szCs w:val="56"/>
        </w:rPr>
        <w:t>Request for Proposal</w:t>
      </w:r>
    </w:p>
    <w:p w14:paraId="01EF6AD0" w14:textId="77777777" w:rsidR="00B05A6A" w:rsidRDefault="00B05A6A" w:rsidP="006C6857">
      <w:pPr>
        <w:spacing w:after="120"/>
        <w:rPr>
          <w:b/>
          <w:sz w:val="56"/>
          <w:szCs w:val="56"/>
        </w:rPr>
      </w:pPr>
    </w:p>
    <w:p w14:paraId="58E15C64" w14:textId="77777777" w:rsidR="00B05A6A" w:rsidRDefault="00B05A6A" w:rsidP="006C6857">
      <w:pPr>
        <w:spacing w:after="120"/>
        <w:rPr>
          <w:b/>
          <w:sz w:val="56"/>
          <w:szCs w:val="56"/>
        </w:rPr>
      </w:pPr>
    </w:p>
    <w:p w14:paraId="58A25653" w14:textId="77777777" w:rsidR="00B05A6A" w:rsidRDefault="00B05A6A" w:rsidP="006C6857">
      <w:pPr>
        <w:spacing w:after="120"/>
        <w:rPr>
          <w:b/>
          <w:sz w:val="56"/>
          <w:szCs w:val="56"/>
        </w:rPr>
      </w:pPr>
    </w:p>
    <w:p w14:paraId="66D69181" w14:textId="77777777" w:rsidR="00B05A6A" w:rsidRDefault="00B05A6A" w:rsidP="006C6857">
      <w:pPr>
        <w:spacing w:after="120"/>
        <w:rPr>
          <w:b/>
          <w:sz w:val="56"/>
          <w:szCs w:val="56"/>
        </w:rPr>
      </w:pPr>
    </w:p>
    <w:p w14:paraId="5098FC85" w14:textId="29500476" w:rsidR="0087689F" w:rsidRDefault="00B52E14" w:rsidP="006C6857">
      <w:pPr>
        <w:spacing w:after="120"/>
        <w:rPr>
          <w:b/>
          <w:sz w:val="56"/>
          <w:szCs w:val="56"/>
        </w:rPr>
      </w:pPr>
      <w:r>
        <w:rPr>
          <w:b/>
          <w:sz w:val="56"/>
          <w:szCs w:val="56"/>
        </w:rPr>
        <w:t>Fixed Income Manager of Managers</w:t>
      </w:r>
    </w:p>
    <w:p w14:paraId="181C616C" w14:textId="6527AC31" w:rsidR="00326FAA" w:rsidRPr="008E1DB2" w:rsidRDefault="008E1DB2" w:rsidP="004C49F4">
      <w:pPr>
        <w:spacing w:after="360"/>
        <w:rPr>
          <w:b/>
          <w:sz w:val="56"/>
          <w:szCs w:val="56"/>
        </w:rPr>
      </w:pPr>
      <w:r>
        <w:rPr>
          <w:b/>
          <w:sz w:val="56"/>
          <w:szCs w:val="56"/>
        </w:rPr>
        <w:t xml:space="preserve">January </w:t>
      </w:r>
      <w:r w:rsidR="00A33658">
        <w:rPr>
          <w:b/>
          <w:sz w:val="56"/>
          <w:szCs w:val="56"/>
        </w:rPr>
        <w:t>17</w:t>
      </w:r>
      <w:r w:rsidR="00846AB7" w:rsidRPr="008E1DB2">
        <w:rPr>
          <w:b/>
          <w:sz w:val="56"/>
          <w:szCs w:val="56"/>
        </w:rPr>
        <w:t>,</w:t>
      </w:r>
      <w:r w:rsidR="006C6857" w:rsidRPr="008E1DB2">
        <w:rPr>
          <w:b/>
          <w:sz w:val="56"/>
          <w:szCs w:val="56"/>
        </w:rPr>
        <w:t xml:space="preserve"> 20</w:t>
      </w:r>
      <w:r>
        <w:rPr>
          <w:b/>
          <w:sz w:val="56"/>
          <w:szCs w:val="56"/>
        </w:rPr>
        <w:t>20</w:t>
      </w:r>
      <w:r w:rsidR="00846AB7" w:rsidRPr="008E1DB2">
        <w:rPr>
          <w:b/>
          <w:sz w:val="56"/>
          <w:szCs w:val="56"/>
        </w:rPr>
        <w:t xml:space="preserve"> Issue Date</w:t>
      </w:r>
    </w:p>
    <w:p w14:paraId="13D21D51" w14:textId="77777777" w:rsidR="007F553C" w:rsidRPr="00B52E14" w:rsidRDefault="007F553C" w:rsidP="004C49F4">
      <w:pPr>
        <w:tabs>
          <w:tab w:val="left" w:pos="6695"/>
        </w:tabs>
        <w:rPr>
          <w:b/>
          <w:highlight w:val="yellow"/>
        </w:rPr>
      </w:pPr>
    </w:p>
    <w:p w14:paraId="7EBB5EED" w14:textId="77777777" w:rsidR="007F553C" w:rsidRPr="00B52E14" w:rsidRDefault="007F553C" w:rsidP="004C49F4">
      <w:pPr>
        <w:rPr>
          <w:b/>
          <w:highlight w:val="yellow"/>
        </w:rPr>
      </w:pPr>
    </w:p>
    <w:p w14:paraId="75359445" w14:textId="77777777" w:rsidR="007F553C" w:rsidRPr="00B52E14" w:rsidRDefault="007F553C" w:rsidP="004C49F4">
      <w:pPr>
        <w:rPr>
          <w:b/>
          <w:highlight w:val="yellow"/>
        </w:rPr>
      </w:pPr>
    </w:p>
    <w:p w14:paraId="238603BE" w14:textId="77777777" w:rsidR="007F553C" w:rsidRPr="00B52E14" w:rsidRDefault="007F553C" w:rsidP="004C49F4">
      <w:pPr>
        <w:rPr>
          <w:b/>
          <w:highlight w:val="yellow"/>
        </w:rPr>
      </w:pPr>
    </w:p>
    <w:p w14:paraId="674A606B" w14:textId="77777777" w:rsidR="007F553C" w:rsidRPr="00B52E14" w:rsidRDefault="007F553C" w:rsidP="004C49F4">
      <w:pPr>
        <w:rPr>
          <w:b/>
          <w:highlight w:val="yellow"/>
        </w:rPr>
      </w:pPr>
    </w:p>
    <w:p w14:paraId="2B61E541" w14:textId="77777777" w:rsidR="007F553C" w:rsidRPr="00B52E14" w:rsidRDefault="007F553C" w:rsidP="004C49F4">
      <w:pPr>
        <w:rPr>
          <w:b/>
          <w:highlight w:val="yellow"/>
        </w:rPr>
      </w:pPr>
    </w:p>
    <w:p w14:paraId="65A4B62B" w14:textId="77777777" w:rsidR="00203C13" w:rsidRPr="00B52E14" w:rsidRDefault="00203C13" w:rsidP="004C49F4">
      <w:pPr>
        <w:rPr>
          <w:b/>
          <w:highlight w:val="yellow"/>
        </w:rPr>
      </w:pPr>
    </w:p>
    <w:p w14:paraId="7AED7B5D" w14:textId="77777777" w:rsidR="00203C13" w:rsidRPr="00B52E14" w:rsidRDefault="00203C13" w:rsidP="004C49F4">
      <w:pPr>
        <w:rPr>
          <w:b/>
          <w:highlight w:val="yellow"/>
        </w:rPr>
      </w:pPr>
    </w:p>
    <w:p w14:paraId="03A2A6A2" w14:textId="77777777" w:rsidR="00203C13" w:rsidRPr="00B52E14" w:rsidRDefault="00203C13" w:rsidP="004C49F4">
      <w:pPr>
        <w:rPr>
          <w:b/>
          <w:highlight w:val="yellow"/>
        </w:rPr>
      </w:pPr>
    </w:p>
    <w:p w14:paraId="11DF5478" w14:textId="77777777" w:rsidR="00203C13" w:rsidRPr="00B52E14" w:rsidRDefault="00203C13" w:rsidP="004C49F4">
      <w:pPr>
        <w:rPr>
          <w:b/>
          <w:highlight w:val="yellow"/>
        </w:rPr>
      </w:pPr>
    </w:p>
    <w:p w14:paraId="3FB83B3D" w14:textId="77777777" w:rsidR="00A14E81" w:rsidRPr="00B52E14" w:rsidRDefault="00A14E81" w:rsidP="004C49F4">
      <w:pPr>
        <w:rPr>
          <w:b/>
          <w:highlight w:val="yellow"/>
        </w:rPr>
      </w:pPr>
    </w:p>
    <w:p w14:paraId="19C55D1E" w14:textId="77777777" w:rsidR="00326FAA" w:rsidRPr="008E1DB2" w:rsidRDefault="00326FAA" w:rsidP="00326FAA">
      <w:pPr>
        <w:rPr>
          <w:b/>
        </w:rPr>
      </w:pPr>
      <w:r w:rsidRPr="008E1DB2">
        <w:rPr>
          <w:b/>
        </w:rPr>
        <w:lastRenderedPageBreak/>
        <w:t>TABLE OF CONTENTS</w:t>
      </w:r>
    </w:p>
    <w:p w14:paraId="43920617" w14:textId="77777777" w:rsidR="00326FAA" w:rsidRPr="008E1DB2" w:rsidRDefault="00326FAA" w:rsidP="00326FAA">
      <w:pPr>
        <w:rPr>
          <w:b/>
        </w:rPr>
      </w:pPr>
    </w:p>
    <w:p w14:paraId="5400710D" w14:textId="77777777" w:rsidR="007F553C" w:rsidRPr="008E1DB2" w:rsidRDefault="007F553C" w:rsidP="00326FAA">
      <w:pPr>
        <w:jc w:val="left"/>
        <w:rPr>
          <w:b/>
        </w:rPr>
      </w:pPr>
    </w:p>
    <w:p w14:paraId="2FFDF19D" w14:textId="77777777" w:rsidR="007F553C" w:rsidRPr="008E1DB2" w:rsidRDefault="007F553C" w:rsidP="00326FAA">
      <w:pPr>
        <w:jc w:val="left"/>
        <w:rPr>
          <w:b/>
        </w:rPr>
      </w:pPr>
    </w:p>
    <w:p w14:paraId="3C2AF179" w14:textId="77777777" w:rsidR="00326FAA" w:rsidRPr="008E1DB2" w:rsidRDefault="00326FAA" w:rsidP="00326FAA">
      <w:pPr>
        <w:jc w:val="left"/>
        <w:rPr>
          <w:b/>
        </w:rPr>
      </w:pPr>
      <w:r w:rsidRPr="008E1DB2">
        <w:rPr>
          <w:b/>
        </w:rPr>
        <w:t xml:space="preserve">SECTION I: </w:t>
      </w:r>
      <w:r w:rsidR="00CC55AA" w:rsidRPr="008E1DB2">
        <w:rPr>
          <w:b/>
        </w:rPr>
        <w:t>……………</w:t>
      </w:r>
      <w:r w:rsidR="008B3DB0" w:rsidRPr="008E1DB2">
        <w:rPr>
          <w:b/>
        </w:rPr>
        <w:t>…………………………………………………………………………………</w:t>
      </w:r>
      <w:r w:rsidR="006A0A0C" w:rsidRPr="008E1DB2">
        <w:rPr>
          <w:b/>
        </w:rPr>
        <w:t>3</w:t>
      </w:r>
    </w:p>
    <w:p w14:paraId="567E75D7" w14:textId="77777777" w:rsidR="00326FAA" w:rsidRPr="008E1DB2" w:rsidRDefault="00326FAA" w:rsidP="00326FAA">
      <w:pPr>
        <w:jc w:val="left"/>
        <w:rPr>
          <w:b/>
        </w:rPr>
      </w:pPr>
      <w:r w:rsidRPr="008E1DB2">
        <w:rPr>
          <w:b/>
        </w:rPr>
        <w:t>General Information</w:t>
      </w:r>
    </w:p>
    <w:p w14:paraId="4C7B8C80" w14:textId="77777777" w:rsidR="00326FAA" w:rsidRPr="008E1DB2" w:rsidRDefault="00326FAA" w:rsidP="00326FAA">
      <w:pPr>
        <w:jc w:val="left"/>
      </w:pPr>
      <w:r w:rsidRPr="008E1DB2">
        <w:t>Introduction</w:t>
      </w:r>
    </w:p>
    <w:p w14:paraId="3AC9EAB5" w14:textId="77777777" w:rsidR="00326FAA" w:rsidRPr="008E1DB2" w:rsidRDefault="00326FAA" w:rsidP="00326FAA">
      <w:pPr>
        <w:jc w:val="left"/>
      </w:pPr>
      <w:r w:rsidRPr="008E1DB2">
        <w:t>Background</w:t>
      </w:r>
    </w:p>
    <w:p w14:paraId="6F3E0448" w14:textId="77777777" w:rsidR="00326FAA" w:rsidRPr="008E1DB2" w:rsidRDefault="00326FAA" w:rsidP="00326FAA">
      <w:pPr>
        <w:jc w:val="left"/>
        <w:rPr>
          <w:b/>
        </w:rPr>
      </w:pPr>
    </w:p>
    <w:p w14:paraId="393738E4" w14:textId="77777777" w:rsidR="00326FAA" w:rsidRPr="008E1DB2" w:rsidRDefault="00326FAA" w:rsidP="00326FAA">
      <w:pPr>
        <w:jc w:val="left"/>
        <w:rPr>
          <w:b/>
        </w:rPr>
      </w:pPr>
      <w:r w:rsidRPr="008E1DB2">
        <w:rPr>
          <w:b/>
        </w:rPr>
        <w:t>SECTION II:</w:t>
      </w:r>
      <w:r w:rsidR="00CC55AA" w:rsidRPr="008E1DB2">
        <w:rPr>
          <w:b/>
        </w:rPr>
        <w:t xml:space="preserve"> ………………………………………………………………………………………...……</w:t>
      </w:r>
      <w:r w:rsidR="008B1194" w:rsidRPr="008E1DB2">
        <w:rPr>
          <w:b/>
        </w:rPr>
        <w:t>4</w:t>
      </w:r>
    </w:p>
    <w:p w14:paraId="168E4AB0" w14:textId="77777777" w:rsidR="00326FAA" w:rsidRPr="008E1DB2" w:rsidRDefault="00326FAA" w:rsidP="00326FAA">
      <w:pPr>
        <w:jc w:val="left"/>
        <w:rPr>
          <w:b/>
        </w:rPr>
      </w:pPr>
      <w:r w:rsidRPr="008E1DB2">
        <w:rPr>
          <w:b/>
        </w:rPr>
        <w:t>Request for Proposal Objective</w:t>
      </w:r>
    </w:p>
    <w:p w14:paraId="6BD3FCD4" w14:textId="77777777" w:rsidR="00326FAA" w:rsidRPr="008E1DB2" w:rsidRDefault="00326FAA" w:rsidP="00326FAA">
      <w:pPr>
        <w:jc w:val="left"/>
      </w:pPr>
      <w:r w:rsidRPr="008E1DB2">
        <w:t>Purpose of Request for Proposal</w:t>
      </w:r>
    </w:p>
    <w:p w14:paraId="3E974860" w14:textId="77777777" w:rsidR="00326FAA" w:rsidRPr="008E1DB2" w:rsidRDefault="00326FAA" w:rsidP="00326FAA">
      <w:pPr>
        <w:jc w:val="left"/>
      </w:pPr>
      <w:r w:rsidRPr="008E1DB2">
        <w:t>Issuing Officer and Contacts</w:t>
      </w:r>
    </w:p>
    <w:p w14:paraId="4CC0725A" w14:textId="77777777" w:rsidR="00326FAA" w:rsidRPr="008E1DB2" w:rsidRDefault="00326FAA" w:rsidP="00326FAA">
      <w:pPr>
        <w:jc w:val="left"/>
      </w:pPr>
    </w:p>
    <w:p w14:paraId="0DEFBA9E" w14:textId="77777777" w:rsidR="00326FAA" w:rsidRPr="008E1DB2" w:rsidRDefault="00326FAA" w:rsidP="00326FAA">
      <w:pPr>
        <w:jc w:val="left"/>
        <w:rPr>
          <w:b/>
        </w:rPr>
      </w:pPr>
      <w:r w:rsidRPr="008E1DB2">
        <w:rPr>
          <w:b/>
        </w:rPr>
        <w:t>SECTION III:</w:t>
      </w:r>
      <w:r w:rsidR="00CC55AA" w:rsidRPr="008E1DB2">
        <w:rPr>
          <w:b/>
        </w:rPr>
        <w:t xml:space="preserve"> ……………………………………………………………………………………………..</w:t>
      </w:r>
      <w:r w:rsidR="008B1194" w:rsidRPr="008E1DB2">
        <w:rPr>
          <w:b/>
        </w:rPr>
        <w:t>5</w:t>
      </w:r>
    </w:p>
    <w:p w14:paraId="40D703A9" w14:textId="77777777" w:rsidR="00326FAA" w:rsidRPr="008E1DB2" w:rsidRDefault="007C6C60" w:rsidP="00326FAA">
      <w:pPr>
        <w:jc w:val="left"/>
        <w:rPr>
          <w:b/>
        </w:rPr>
      </w:pPr>
      <w:r w:rsidRPr="008E1DB2">
        <w:rPr>
          <w:b/>
        </w:rPr>
        <w:t xml:space="preserve">Scope, </w:t>
      </w:r>
      <w:r w:rsidR="00326FAA" w:rsidRPr="008E1DB2">
        <w:rPr>
          <w:b/>
        </w:rPr>
        <w:t>Qualifications and Information Requested</w:t>
      </w:r>
    </w:p>
    <w:p w14:paraId="13B43015" w14:textId="77777777" w:rsidR="00326FAA" w:rsidRPr="008E1DB2" w:rsidRDefault="00326FAA" w:rsidP="00326FAA">
      <w:pPr>
        <w:jc w:val="left"/>
      </w:pPr>
      <w:r w:rsidRPr="008E1DB2">
        <w:t>Minimum Qualifications</w:t>
      </w:r>
    </w:p>
    <w:p w14:paraId="02A54643" w14:textId="77777777" w:rsidR="00326FAA" w:rsidRPr="008E1DB2" w:rsidRDefault="00326FAA" w:rsidP="00326FAA">
      <w:pPr>
        <w:jc w:val="left"/>
      </w:pPr>
      <w:r w:rsidRPr="008E1DB2">
        <w:t>Legislative Considerations</w:t>
      </w:r>
    </w:p>
    <w:p w14:paraId="19852766" w14:textId="77777777" w:rsidR="007C6C60" w:rsidRPr="008E1DB2" w:rsidRDefault="00326FAA" w:rsidP="00326FAA">
      <w:pPr>
        <w:jc w:val="left"/>
      </w:pPr>
      <w:r w:rsidRPr="008E1DB2">
        <w:t>Diversity Disclosure Requirements</w:t>
      </w:r>
    </w:p>
    <w:p w14:paraId="24452A3B" w14:textId="77777777" w:rsidR="00326FAA" w:rsidRPr="008E1DB2" w:rsidRDefault="008145F8" w:rsidP="00326FAA">
      <w:pPr>
        <w:jc w:val="left"/>
      </w:pPr>
      <w:r w:rsidRPr="008E1DB2">
        <w:t>Scope of Work (including RFP</w:t>
      </w:r>
      <w:r w:rsidR="007C6C60" w:rsidRPr="008E1DB2">
        <w:t xml:space="preserve"> and related appendices)</w:t>
      </w:r>
      <w:r w:rsidR="00326FAA" w:rsidRPr="008E1DB2">
        <w:t xml:space="preserve"> </w:t>
      </w:r>
    </w:p>
    <w:p w14:paraId="0C71F06E" w14:textId="77777777" w:rsidR="00E24DCE" w:rsidRPr="008E1DB2" w:rsidRDefault="00E24DCE" w:rsidP="00326FAA">
      <w:pPr>
        <w:jc w:val="left"/>
      </w:pPr>
      <w:r w:rsidRPr="008E1DB2">
        <w:t>Contract Negotiating and Awarding</w:t>
      </w:r>
    </w:p>
    <w:p w14:paraId="0A215B05" w14:textId="77777777" w:rsidR="00326FAA" w:rsidRPr="008E1DB2" w:rsidRDefault="00326FAA" w:rsidP="00326FAA">
      <w:pPr>
        <w:jc w:val="left"/>
      </w:pPr>
    </w:p>
    <w:p w14:paraId="3CAD84FD" w14:textId="6673FEFC" w:rsidR="00326FAA" w:rsidRPr="008E1DB2" w:rsidRDefault="008B3DB0" w:rsidP="00326FAA">
      <w:pPr>
        <w:jc w:val="left"/>
        <w:rPr>
          <w:b/>
        </w:rPr>
      </w:pPr>
      <w:r w:rsidRPr="008E1DB2">
        <w:rPr>
          <w:b/>
        </w:rPr>
        <w:t>SECTION IV</w:t>
      </w:r>
      <w:r w:rsidR="00326FAA" w:rsidRPr="008E1DB2">
        <w:rPr>
          <w:b/>
        </w:rPr>
        <w:t>:</w:t>
      </w:r>
      <w:r w:rsidRPr="008E1DB2">
        <w:rPr>
          <w:b/>
        </w:rPr>
        <w:t xml:space="preserve"> </w:t>
      </w:r>
      <w:r w:rsidR="00CC55AA" w:rsidRPr="008E1DB2">
        <w:rPr>
          <w:b/>
        </w:rPr>
        <w:t>…………………………………………………………………………………………</w:t>
      </w:r>
      <w:r w:rsidR="00203C13" w:rsidRPr="008E1DB2">
        <w:rPr>
          <w:b/>
        </w:rPr>
        <w:t>.</w:t>
      </w:r>
      <w:r w:rsidR="000C7CB4" w:rsidRPr="008E1DB2">
        <w:rPr>
          <w:b/>
        </w:rPr>
        <w:t>…</w:t>
      </w:r>
      <w:r w:rsidR="00807472" w:rsidRPr="008E1DB2">
        <w:rPr>
          <w:b/>
        </w:rPr>
        <w:t>9</w:t>
      </w:r>
    </w:p>
    <w:p w14:paraId="67D3C443" w14:textId="77777777" w:rsidR="00326FAA" w:rsidRPr="008E1DB2" w:rsidRDefault="00326FAA" w:rsidP="00326FAA">
      <w:pPr>
        <w:jc w:val="left"/>
        <w:rPr>
          <w:b/>
        </w:rPr>
      </w:pPr>
      <w:r w:rsidRPr="008E1DB2">
        <w:rPr>
          <w:b/>
        </w:rPr>
        <w:t>Submission of Proposal and Selection Process</w:t>
      </w:r>
    </w:p>
    <w:p w14:paraId="421D1CD3" w14:textId="77777777" w:rsidR="00326FAA" w:rsidRPr="008E1DB2" w:rsidRDefault="00326FAA" w:rsidP="00326FAA">
      <w:pPr>
        <w:jc w:val="left"/>
      </w:pPr>
      <w:r w:rsidRPr="008E1DB2">
        <w:t>Schedule</w:t>
      </w:r>
    </w:p>
    <w:p w14:paraId="71E7A65D" w14:textId="77777777" w:rsidR="00326FAA" w:rsidRPr="008E1DB2" w:rsidRDefault="00326FAA" w:rsidP="00326FAA">
      <w:pPr>
        <w:jc w:val="left"/>
      </w:pPr>
      <w:r w:rsidRPr="008E1DB2">
        <w:t>Submission Process</w:t>
      </w:r>
    </w:p>
    <w:p w14:paraId="5EE62436" w14:textId="77777777" w:rsidR="00326FAA" w:rsidRPr="008E1DB2" w:rsidRDefault="00326FAA" w:rsidP="00326FAA">
      <w:pPr>
        <w:jc w:val="left"/>
      </w:pPr>
    </w:p>
    <w:p w14:paraId="3E081125" w14:textId="77777777" w:rsidR="00326FAA" w:rsidRPr="008E1DB2" w:rsidRDefault="0004357A" w:rsidP="00326FAA">
      <w:pPr>
        <w:jc w:val="left"/>
        <w:rPr>
          <w:b/>
        </w:rPr>
      </w:pPr>
      <w:r w:rsidRPr="008E1DB2">
        <w:rPr>
          <w:b/>
        </w:rPr>
        <w:t>SECTION V</w:t>
      </w:r>
      <w:r w:rsidR="00326FAA" w:rsidRPr="008E1DB2">
        <w:rPr>
          <w:b/>
        </w:rPr>
        <w:t>:</w:t>
      </w:r>
      <w:r w:rsidR="006A0A0C" w:rsidRPr="008E1DB2">
        <w:rPr>
          <w:b/>
        </w:rPr>
        <w:t xml:space="preserve"> </w:t>
      </w:r>
      <w:r w:rsidR="00CC55AA" w:rsidRPr="008E1DB2">
        <w:rPr>
          <w:b/>
        </w:rPr>
        <w:t>……………………………………………………………………………………………</w:t>
      </w:r>
      <w:r w:rsidR="00287760" w:rsidRPr="008E1DB2">
        <w:rPr>
          <w:b/>
        </w:rPr>
        <w:t>.</w:t>
      </w:r>
      <w:r w:rsidR="00203C13" w:rsidRPr="008E1DB2">
        <w:rPr>
          <w:b/>
        </w:rPr>
        <w:t>10</w:t>
      </w:r>
    </w:p>
    <w:p w14:paraId="56869700" w14:textId="77777777" w:rsidR="00FA7777" w:rsidRPr="008E1DB2" w:rsidRDefault="00FA7777" w:rsidP="00326FAA">
      <w:pPr>
        <w:jc w:val="left"/>
        <w:rPr>
          <w:b/>
        </w:rPr>
      </w:pPr>
      <w:r w:rsidRPr="008E1DB2">
        <w:rPr>
          <w:b/>
        </w:rPr>
        <w:t>Illinois Freedom of Information Act Disclosure, Communications and Evaluation Process</w:t>
      </w:r>
    </w:p>
    <w:p w14:paraId="045BBDAF" w14:textId="77777777" w:rsidR="00FA7777" w:rsidRPr="008E1DB2" w:rsidRDefault="00E130F8" w:rsidP="00326FAA">
      <w:pPr>
        <w:jc w:val="left"/>
      </w:pPr>
      <w:r w:rsidRPr="008E1DB2">
        <w:t>FOIA Disclosure</w:t>
      </w:r>
    </w:p>
    <w:p w14:paraId="4E889E84" w14:textId="77777777" w:rsidR="00E130F8" w:rsidRPr="008E1DB2" w:rsidRDefault="00E130F8" w:rsidP="00326FAA">
      <w:pPr>
        <w:jc w:val="left"/>
      </w:pPr>
      <w:r w:rsidRPr="008E1DB2">
        <w:t>Communications</w:t>
      </w:r>
    </w:p>
    <w:p w14:paraId="6A3613C7" w14:textId="77777777" w:rsidR="00E130F8" w:rsidRPr="008E1DB2" w:rsidRDefault="00E130F8" w:rsidP="00326FAA">
      <w:pPr>
        <w:jc w:val="left"/>
      </w:pPr>
      <w:r w:rsidRPr="008E1DB2">
        <w:t>Evaluation Process</w:t>
      </w:r>
    </w:p>
    <w:p w14:paraId="37A1B3BA" w14:textId="77777777" w:rsidR="00E130F8" w:rsidRPr="008E1DB2" w:rsidRDefault="00E130F8" w:rsidP="00326FAA">
      <w:pPr>
        <w:jc w:val="left"/>
      </w:pPr>
      <w:r w:rsidRPr="008E1DB2">
        <w:t>Proposal Evaluation</w:t>
      </w:r>
    </w:p>
    <w:p w14:paraId="5178B8C4" w14:textId="77777777" w:rsidR="00E130F8" w:rsidRPr="008E1DB2" w:rsidRDefault="00E130F8" w:rsidP="00326FAA">
      <w:pPr>
        <w:jc w:val="left"/>
      </w:pPr>
      <w:r w:rsidRPr="008E1DB2">
        <w:t xml:space="preserve">Terms and Conditions </w:t>
      </w:r>
    </w:p>
    <w:p w14:paraId="1F551B03" w14:textId="77777777" w:rsidR="00E130F8" w:rsidRPr="008E1DB2" w:rsidRDefault="00E130F8" w:rsidP="00326FAA">
      <w:pPr>
        <w:jc w:val="left"/>
      </w:pPr>
    </w:p>
    <w:p w14:paraId="1EF9F378" w14:textId="3D7EB9E7" w:rsidR="00FA7777" w:rsidRPr="008E1DB2" w:rsidRDefault="00FA7777" w:rsidP="00326FAA">
      <w:pPr>
        <w:jc w:val="left"/>
        <w:rPr>
          <w:b/>
        </w:rPr>
      </w:pPr>
      <w:r w:rsidRPr="008E1DB2">
        <w:rPr>
          <w:b/>
        </w:rPr>
        <w:t>SECTION VI: ……………………………………………………………………………………………</w:t>
      </w:r>
      <w:r w:rsidR="008145F8" w:rsidRPr="008E1DB2">
        <w:rPr>
          <w:b/>
        </w:rPr>
        <w:t>1</w:t>
      </w:r>
      <w:r w:rsidR="001007D0">
        <w:rPr>
          <w:b/>
        </w:rPr>
        <w:t>4</w:t>
      </w:r>
      <w:bookmarkStart w:id="0" w:name="_GoBack"/>
      <w:bookmarkEnd w:id="0"/>
    </w:p>
    <w:p w14:paraId="75FE10F7" w14:textId="77777777" w:rsidR="00326FAA" w:rsidRPr="008E1DB2" w:rsidRDefault="00326FAA" w:rsidP="00326FAA">
      <w:pPr>
        <w:jc w:val="left"/>
        <w:rPr>
          <w:b/>
        </w:rPr>
      </w:pPr>
      <w:r w:rsidRPr="008E1DB2">
        <w:rPr>
          <w:b/>
        </w:rPr>
        <w:t xml:space="preserve">Definitions and Appendices </w:t>
      </w:r>
    </w:p>
    <w:p w14:paraId="2EDDD3C9" w14:textId="77777777" w:rsidR="00326FAA" w:rsidRPr="008E1DB2" w:rsidRDefault="00326FAA" w:rsidP="00326FAA">
      <w:pPr>
        <w:jc w:val="left"/>
      </w:pPr>
      <w:r w:rsidRPr="008E1DB2">
        <w:t>Definitions under Illinois Law</w:t>
      </w:r>
    </w:p>
    <w:p w14:paraId="0F1289D5" w14:textId="77777777" w:rsidR="00670786" w:rsidRPr="008E1DB2" w:rsidRDefault="00670786" w:rsidP="00326FAA">
      <w:pPr>
        <w:jc w:val="left"/>
      </w:pPr>
    </w:p>
    <w:p w14:paraId="553E729D" w14:textId="77777777" w:rsidR="00670786" w:rsidRPr="008E1DB2" w:rsidRDefault="00670786" w:rsidP="00326FAA">
      <w:pPr>
        <w:jc w:val="left"/>
        <w:rPr>
          <w:b/>
        </w:rPr>
      </w:pPr>
      <w:r w:rsidRPr="008E1DB2">
        <w:rPr>
          <w:b/>
        </w:rPr>
        <w:t>Additional Attachments:</w:t>
      </w:r>
    </w:p>
    <w:p w14:paraId="57BFE0C1" w14:textId="77777777" w:rsidR="00326FAA" w:rsidRPr="008E1DB2" w:rsidRDefault="00326FAA" w:rsidP="00326FAA">
      <w:pPr>
        <w:jc w:val="left"/>
      </w:pPr>
      <w:r w:rsidRPr="008E1DB2">
        <w:t xml:space="preserve">APPENDIX A: </w:t>
      </w:r>
      <w:r w:rsidR="003B2BE0" w:rsidRPr="008E1DB2">
        <w:tab/>
      </w:r>
      <w:r w:rsidR="003B2BE0" w:rsidRPr="008E1DB2">
        <w:tab/>
      </w:r>
      <w:r w:rsidR="00387342" w:rsidRPr="008E1DB2">
        <w:t xml:space="preserve">Minimum Requirements Certification </w:t>
      </w:r>
    </w:p>
    <w:p w14:paraId="771E1F48" w14:textId="77777777" w:rsidR="00A174C2" w:rsidRPr="008E1DB2" w:rsidRDefault="00326FAA" w:rsidP="00326FAA">
      <w:pPr>
        <w:jc w:val="left"/>
      </w:pPr>
      <w:r w:rsidRPr="008E1DB2">
        <w:t xml:space="preserve">APPENDIX B: </w:t>
      </w:r>
      <w:r w:rsidR="003B2BE0" w:rsidRPr="008E1DB2">
        <w:tab/>
      </w:r>
      <w:r w:rsidR="001316FB" w:rsidRPr="008E1DB2">
        <w:tab/>
      </w:r>
      <w:r w:rsidR="00387342" w:rsidRPr="008E1DB2">
        <w:t>Diversity Profile</w:t>
      </w:r>
    </w:p>
    <w:p w14:paraId="59A2FED2" w14:textId="77777777" w:rsidR="008145F8" w:rsidRPr="008E1DB2" w:rsidRDefault="008145F8" w:rsidP="00326FAA">
      <w:pPr>
        <w:jc w:val="left"/>
      </w:pPr>
      <w:r w:rsidRPr="008E1DB2">
        <w:t>APPENDIX C:</w:t>
      </w:r>
      <w:r w:rsidRPr="008E1DB2">
        <w:tab/>
      </w:r>
      <w:r w:rsidRPr="008E1DB2">
        <w:tab/>
      </w:r>
      <w:r w:rsidR="00EA0923" w:rsidRPr="008E1DB2">
        <w:t>Manager Questionnaire</w:t>
      </w:r>
    </w:p>
    <w:p w14:paraId="5D16AD42" w14:textId="77777777" w:rsidR="002703F1" w:rsidRPr="008E1DB2" w:rsidRDefault="002703F1" w:rsidP="00326FAA">
      <w:pPr>
        <w:jc w:val="left"/>
      </w:pPr>
    </w:p>
    <w:p w14:paraId="4A019731" w14:textId="77777777" w:rsidR="00326FAA" w:rsidRPr="00B52E14" w:rsidRDefault="00326FAA" w:rsidP="00326FAA">
      <w:pPr>
        <w:jc w:val="left"/>
        <w:rPr>
          <w:highlight w:val="yellow"/>
        </w:rPr>
      </w:pPr>
    </w:p>
    <w:p w14:paraId="3A1200F4" w14:textId="77777777" w:rsidR="00A174C2" w:rsidRPr="00B52E14" w:rsidRDefault="00A174C2" w:rsidP="008D7FBF">
      <w:pPr>
        <w:jc w:val="left"/>
        <w:rPr>
          <w:b/>
          <w:highlight w:val="yellow"/>
        </w:rPr>
      </w:pPr>
    </w:p>
    <w:p w14:paraId="5FBB556C" w14:textId="77777777" w:rsidR="00A174C2" w:rsidRPr="00B52E14" w:rsidRDefault="00A174C2" w:rsidP="008D7FBF">
      <w:pPr>
        <w:jc w:val="left"/>
        <w:rPr>
          <w:b/>
          <w:highlight w:val="yellow"/>
        </w:rPr>
      </w:pPr>
    </w:p>
    <w:p w14:paraId="30C906B2" w14:textId="77777777" w:rsidR="00070F33" w:rsidRPr="00B52E14" w:rsidRDefault="00070F33">
      <w:pPr>
        <w:spacing w:after="200" w:line="276" w:lineRule="auto"/>
        <w:jc w:val="left"/>
        <w:rPr>
          <w:b/>
          <w:highlight w:val="yellow"/>
        </w:rPr>
      </w:pPr>
      <w:r w:rsidRPr="00B52E14">
        <w:rPr>
          <w:b/>
          <w:highlight w:val="yellow"/>
        </w:rPr>
        <w:br w:type="page"/>
      </w:r>
    </w:p>
    <w:p w14:paraId="2B12BB2C" w14:textId="77777777" w:rsidR="00F25937" w:rsidRPr="00B52E14" w:rsidRDefault="00F25937" w:rsidP="00E85ACF">
      <w:pPr>
        <w:rPr>
          <w:b/>
        </w:rPr>
      </w:pPr>
      <w:r w:rsidRPr="00B52E14">
        <w:rPr>
          <w:b/>
        </w:rPr>
        <w:t>REQUEST FOR PROPOSAL</w:t>
      </w:r>
    </w:p>
    <w:p w14:paraId="08A35F07" w14:textId="77777777" w:rsidR="00F25937" w:rsidRPr="00B52E14" w:rsidRDefault="00F25937" w:rsidP="00B133B4">
      <w:pPr>
        <w:rPr>
          <w:b/>
        </w:rPr>
      </w:pPr>
    </w:p>
    <w:p w14:paraId="7E81536D" w14:textId="77777777" w:rsidR="00F25937" w:rsidRPr="00B52E14" w:rsidRDefault="00F25937" w:rsidP="00F25937">
      <w:pPr>
        <w:jc w:val="both"/>
        <w:rPr>
          <w:b/>
        </w:rPr>
      </w:pPr>
      <w:r w:rsidRPr="00B52E14">
        <w:rPr>
          <w:b/>
        </w:rPr>
        <w:t xml:space="preserve">SECTION I: GENERAL INFORMATION </w:t>
      </w:r>
    </w:p>
    <w:p w14:paraId="426A6C2B" w14:textId="77777777" w:rsidR="00F25937" w:rsidRPr="00B52E14" w:rsidRDefault="00F25937" w:rsidP="00F25937">
      <w:pPr>
        <w:jc w:val="both"/>
        <w:rPr>
          <w:b/>
        </w:rPr>
      </w:pPr>
    </w:p>
    <w:p w14:paraId="07C472EF" w14:textId="77777777" w:rsidR="00F25937" w:rsidRPr="00B52E14" w:rsidRDefault="00F25937" w:rsidP="00F25937">
      <w:pPr>
        <w:jc w:val="both"/>
        <w:rPr>
          <w:b/>
        </w:rPr>
      </w:pPr>
      <w:r w:rsidRPr="00B52E14">
        <w:rPr>
          <w:b/>
        </w:rPr>
        <w:t>1. Introduction:</w:t>
      </w:r>
    </w:p>
    <w:p w14:paraId="1679EEFA" w14:textId="77777777" w:rsidR="00F25937" w:rsidRPr="00B52E14" w:rsidRDefault="00F25937" w:rsidP="00F25937">
      <w:pPr>
        <w:jc w:val="both"/>
        <w:rPr>
          <w:b/>
        </w:rPr>
      </w:pPr>
    </w:p>
    <w:p w14:paraId="1977879C" w14:textId="6B659C3D" w:rsidR="00663974" w:rsidRDefault="00A10227" w:rsidP="00A10227">
      <w:pPr>
        <w:jc w:val="both"/>
        <w:rPr>
          <w:szCs w:val="24"/>
        </w:rPr>
      </w:pPr>
      <w:r w:rsidRPr="00B52E14">
        <w:rPr>
          <w:szCs w:val="24"/>
        </w:rPr>
        <w:t xml:space="preserve">The State Universities Retirement System (“SURS” or the “System”) is requesting proposals from qualified </w:t>
      </w:r>
      <w:r w:rsidR="00B52E14">
        <w:rPr>
          <w:szCs w:val="24"/>
        </w:rPr>
        <w:t>Manager of Man</w:t>
      </w:r>
      <w:r w:rsidR="00D02E67">
        <w:rPr>
          <w:szCs w:val="24"/>
        </w:rPr>
        <w:t>a</w:t>
      </w:r>
      <w:r w:rsidR="00B52E14">
        <w:rPr>
          <w:szCs w:val="24"/>
        </w:rPr>
        <w:t xml:space="preserve">ger </w:t>
      </w:r>
      <w:r w:rsidRPr="00B52E14">
        <w:rPr>
          <w:szCs w:val="24"/>
        </w:rPr>
        <w:t>firms interested in providing</w:t>
      </w:r>
      <w:r w:rsidR="009F42D9" w:rsidRPr="00B52E14">
        <w:rPr>
          <w:szCs w:val="24"/>
        </w:rPr>
        <w:t xml:space="preserve"> diversified</w:t>
      </w:r>
      <w:r w:rsidRPr="00B52E14">
        <w:rPr>
          <w:szCs w:val="24"/>
        </w:rPr>
        <w:t xml:space="preserve"> </w:t>
      </w:r>
      <w:r w:rsidR="0004605E" w:rsidRPr="00B52E14">
        <w:rPr>
          <w:b/>
          <w:bCs/>
          <w:i/>
          <w:iCs/>
          <w:szCs w:val="24"/>
        </w:rPr>
        <w:t>Global</w:t>
      </w:r>
      <w:r w:rsidR="0004605E" w:rsidRPr="00B52E14">
        <w:rPr>
          <w:b/>
          <w:i/>
          <w:szCs w:val="24"/>
        </w:rPr>
        <w:t xml:space="preserve"> </w:t>
      </w:r>
      <w:r w:rsidR="00B52E14" w:rsidRPr="00B52E14">
        <w:rPr>
          <w:b/>
          <w:i/>
          <w:szCs w:val="24"/>
        </w:rPr>
        <w:t>Credit</w:t>
      </w:r>
      <w:r w:rsidR="007D7A94" w:rsidRPr="00B52E14">
        <w:rPr>
          <w:b/>
          <w:i/>
          <w:szCs w:val="24"/>
        </w:rPr>
        <w:t xml:space="preserve"> Strategies</w:t>
      </w:r>
      <w:r w:rsidR="008642FC" w:rsidRPr="00B52E14">
        <w:rPr>
          <w:b/>
          <w:i/>
          <w:szCs w:val="24"/>
        </w:rPr>
        <w:t xml:space="preserve"> </w:t>
      </w:r>
      <w:r w:rsidR="008642FC" w:rsidRPr="00B52E14">
        <w:rPr>
          <w:szCs w:val="24"/>
        </w:rPr>
        <w:t>(“Strategies”)</w:t>
      </w:r>
      <w:r w:rsidR="00EA616F">
        <w:rPr>
          <w:szCs w:val="24"/>
        </w:rPr>
        <w:t xml:space="preserve">.  Underlying portfolio strategies </w:t>
      </w:r>
      <w:r w:rsidR="00B467AA">
        <w:rPr>
          <w:szCs w:val="24"/>
        </w:rPr>
        <w:t>may include</w:t>
      </w:r>
      <w:r w:rsidR="00EA616F">
        <w:rPr>
          <w:szCs w:val="24"/>
        </w:rPr>
        <w:t xml:space="preserve"> Global Investment Grade, High Yield, Global Bank Loans, and Emerging Market Debt segments.</w:t>
      </w:r>
      <w:r w:rsidR="00663974">
        <w:rPr>
          <w:szCs w:val="24"/>
        </w:rPr>
        <w:t xml:space="preserve">  </w:t>
      </w:r>
      <w:r w:rsidR="00D02E67">
        <w:rPr>
          <w:szCs w:val="24"/>
        </w:rPr>
        <w:t xml:space="preserve">The underlying managers will consist of emerging managers that fit the Illinois </w:t>
      </w:r>
      <w:r w:rsidR="00DB7FDE">
        <w:rPr>
          <w:szCs w:val="24"/>
        </w:rPr>
        <w:t xml:space="preserve">statute </w:t>
      </w:r>
      <w:r w:rsidR="00D02E67">
        <w:rPr>
          <w:szCs w:val="24"/>
        </w:rPr>
        <w:t>definition of Minority, Female, and persons with a Disability (MFDB)-owned firms.</w:t>
      </w:r>
      <w:r w:rsidR="004539CD" w:rsidRPr="00B52E14">
        <w:rPr>
          <w:szCs w:val="24"/>
        </w:rPr>
        <w:t xml:space="preserve"> </w:t>
      </w:r>
      <w:r w:rsidR="00AF1538" w:rsidRPr="00B52E14">
        <w:rPr>
          <w:szCs w:val="24"/>
        </w:rPr>
        <w:t xml:space="preserve">SURS general investment consultant, </w:t>
      </w:r>
      <w:r w:rsidR="000A01D7" w:rsidRPr="00B52E14">
        <w:rPr>
          <w:szCs w:val="24"/>
        </w:rPr>
        <w:t>Meketa</w:t>
      </w:r>
      <w:r w:rsidR="00AF1538" w:rsidRPr="00B52E14">
        <w:rPr>
          <w:szCs w:val="24"/>
        </w:rPr>
        <w:t>, will be assisting SURS in the evaluation of respondents.</w:t>
      </w:r>
      <w:r w:rsidR="00663974">
        <w:rPr>
          <w:szCs w:val="24"/>
        </w:rPr>
        <w:t xml:space="preserve">  Existing managers in the lineup include:</w:t>
      </w:r>
    </w:p>
    <w:p w14:paraId="4795D2E4" w14:textId="77777777" w:rsidR="00663974" w:rsidRDefault="00663974" w:rsidP="00A10227">
      <w:pPr>
        <w:jc w:val="both"/>
        <w:rPr>
          <w:szCs w:val="24"/>
        </w:rPr>
      </w:pPr>
    </w:p>
    <w:p w14:paraId="36842149" w14:textId="77777777" w:rsidR="00663974" w:rsidRDefault="004539CD" w:rsidP="00A10227">
      <w:pPr>
        <w:jc w:val="both"/>
        <w:rPr>
          <w:szCs w:val="24"/>
        </w:rPr>
      </w:pPr>
      <w:r w:rsidRPr="00B52E14">
        <w:rPr>
          <w:szCs w:val="24"/>
        </w:rPr>
        <w:t xml:space="preserve"> </w:t>
      </w:r>
    </w:p>
    <w:tbl>
      <w:tblPr>
        <w:tblStyle w:val="TableGrid"/>
        <w:tblW w:w="9355" w:type="dxa"/>
        <w:tblLook w:val="04A0" w:firstRow="1" w:lastRow="0" w:firstColumn="1" w:lastColumn="0" w:noHBand="0" w:noVBand="1"/>
      </w:tblPr>
      <w:tblGrid>
        <w:gridCol w:w="2155"/>
        <w:gridCol w:w="1980"/>
        <w:gridCol w:w="2070"/>
        <w:gridCol w:w="3150"/>
      </w:tblGrid>
      <w:tr w:rsidR="00663974" w14:paraId="3EB3C0EF" w14:textId="77777777" w:rsidTr="00663974">
        <w:tc>
          <w:tcPr>
            <w:tcW w:w="2155" w:type="dxa"/>
            <w:shd w:val="clear" w:color="auto" w:fill="000000" w:themeFill="text1"/>
          </w:tcPr>
          <w:p w14:paraId="3D0D1CD5" w14:textId="5986BDF8" w:rsidR="00663974" w:rsidRPr="00663974" w:rsidRDefault="00663974" w:rsidP="00663974">
            <w:pPr>
              <w:rPr>
                <w:b/>
                <w:bCs/>
                <w:szCs w:val="24"/>
              </w:rPr>
            </w:pPr>
            <w:r w:rsidRPr="00663974">
              <w:rPr>
                <w:b/>
                <w:bCs/>
                <w:szCs w:val="24"/>
              </w:rPr>
              <w:t>Manager Name</w:t>
            </w:r>
          </w:p>
        </w:tc>
        <w:tc>
          <w:tcPr>
            <w:tcW w:w="1980" w:type="dxa"/>
            <w:shd w:val="clear" w:color="auto" w:fill="000000" w:themeFill="text1"/>
          </w:tcPr>
          <w:p w14:paraId="3B17E934" w14:textId="04DEFC07" w:rsidR="00663974" w:rsidRPr="00663974" w:rsidRDefault="00663974" w:rsidP="00663974">
            <w:pPr>
              <w:rPr>
                <w:b/>
                <w:bCs/>
                <w:szCs w:val="24"/>
              </w:rPr>
            </w:pPr>
            <w:r w:rsidRPr="00663974">
              <w:rPr>
                <w:b/>
                <w:bCs/>
                <w:szCs w:val="24"/>
              </w:rPr>
              <w:t>Allocation</w:t>
            </w:r>
          </w:p>
        </w:tc>
        <w:tc>
          <w:tcPr>
            <w:tcW w:w="2070" w:type="dxa"/>
            <w:shd w:val="clear" w:color="auto" w:fill="000000" w:themeFill="text1"/>
          </w:tcPr>
          <w:p w14:paraId="1F5A30DB" w14:textId="363D2A03" w:rsidR="00663974" w:rsidRPr="00663974" w:rsidRDefault="00663974" w:rsidP="00663974">
            <w:pPr>
              <w:rPr>
                <w:b/>
                <w:bCs/>
                <w:szCs w:val="24"/>
              </w:rPr>
            </w:pPr>
            <w:r w:rsidRPr="00663974">
              <w:rPr>
                <w:b/>
                <w:bCs/>
                <w:szCs w:val="24"/>
              </w:rPr>
              <w:t>Strategy Type</w:t>
            </w:r>
          </w:p>
        </w:tc>
        <w:tc>
          <w:tcPr>
            <w:tcW w:w="3150" w:type="dxa"/>
            <w:shd w:val="clear" w:color="auto" w:fill="000000" w:themeFill="text1"/>
          </w:tcPr>
          <w:p w14:paraId="6211078A" w14:textId="6B86112E" w:rsidR="00663974" w:rsidRPr="00663974" w:rsidRDefault="00663974" w:rsidP="00663974">
            <w:pPr>
              <w:rPr>
                <w:b/>
                <w:bCs/>
                <w:szCs w:val="24"/>
              </w:rPr>
            </w:pPr>
            <w:r w:rsidRPr="00663974">
              <w:rPr>
                <w:b/>
                <w:bCs/>
                <w:szCs w:val="24"/>
              </w:rPr>
              <w:t>Benchmark</w:t>
            </w:r>
          </w:p>
        </w:tc>
      </w:tr>
      <w:tr w:rsidR="00663974" w14:paraId="32372F26" w14:textId="77777777" w:rsidTr="00663974">
        <w:tc>
          <w:tcPr>
            <w:tcW w:w="2155" w:type="dxa"/>
          </w:tcPr>
          <w:p w14:paraId="10FD6EDD" w14:textId="581B2E12" w:rsidR="00663974" w:rsidRDefault="00663974" w:rsidP="00FE0662">
            <w:pPr>
              <w:rPr>
                <w:szCs w:val="24"/>
              </w:rPr>
            </w:pPr>
            <w:r>
              <w:rPr>
                <w:szCs w:val="24"/>
              </w:rPr>
              <w:t>Integrity</w:t>
            </w:r>
          </w:p>
        </w:tc>
        <w:tc>
          <w:tcPr>
            <w:tcW w:w="1980" w:type="dxa"/>
          </w:tcPr>
          <w:p w14:paraId="6592C62F" w14:textId="08C88BF6" w:rsidR="00663974" w:rsidRDefault="00663974" w:rsidP="00FE0662">
            <w:pPr>
              <w:rPr>
                <w:szCs w:val="24"/>
              </w:rPr>
            </w:pPr>
            <w:r>
              <w:rPr>
                <w:szCs w:val="24"/>
              </w:rPr>
              <w:t>$40 million</w:t>
            </w:r>
          </w:p>
        </w:tc>
        <w:tc>
          <w:tcPr>
            <w:tcW w:w="2070" w:type="dxa"/>
          </w:tcPr>
          <w:p w14:paraId="4AC9F83A" w14:textId="235C735D" w:rsidR="00663974" w:rsidRDefault="00FE0662" w:rsidP="00FE0662">
            <w:pPr>
              <w:rPr>
                <w:szCs w:val="24"/>
              </w:rPr>
            </w:pPr>
            <w:r>
              <w:rPr>
                <w:szCs w:val="24"/>
              </w:rPr>
              <w:t>US/Global IG</w:t>
            </w:r>
          </w:p>
        </w:tc>
        <w:tc>
          <w:tcPr>
            <w:tcW w:w="3150" w:type="dxa"/>
          </w:tcPr>
          <w:p w14:paraId="4144AC47" w14:textId="0982B832" w:rsidR="00663974" w:rsidRDefault="00FE0662" w:rsidP="00FE0662">
            <w:pPr>
              <w:rPr>
                <w:szCs w:val="24"/>
              </w:rPr>
            </w:pPr>
            <w:r>
              <w:rPr>
                <w:szCs w:val="24"/>
              </w:rPr>
              <w:t>BB US Agg Corp</w:t>
            </w:r>
          </w:p>
        </w:tc>
      </w:tr>
      <w:tr w:rsidR="00663974" w14:paraId="7278FFB2" w14:textId="77777777" w:rsidTr="00663974">
        <w:tc>
          <w:tcPr>
            <w:tcW w:w="2155" w:type="dxa"/>
          </w:tcPr>
          <w:p w14:paraId="0A189B81" w14:textId="50400E62" w:rsidR="00663974" w:rsidRDefault="00663974" w:rsidP="00FE0662">
            <w:pPr>
              <w:rPr>
                <w:szCs w:val="24"/>
              </w:rPr>
            </w:pPr>
            <w:r>
              <w:rPr>
                <w:szCs w:val="24"/>
              </w:rPr>
              <w:t>New Century</w:t>
            </w:r>
          </w:p>
        </w:tc>
        <w:tc>
          <w:tcPr>
            <w:tcW w:w="1980" w:type="dxa"/>
          </w:tcPr>
          <w:p w14:paraId="6D124E0C" w14:textId="230798D3" w:rsidR="00663974" w:rsidRDefault="00663974" w:rsidP="00FE0662">
            <w:pPr>
              <w:rPr>
                <w:szCs w:val="24"/>
              </w:rPr>
            </w:pPr>
            <w:r>
              <w:rPr>
                <w:szCs w:val="24"/>
              </w:rPr>
              <w:t>$50 million</w:t>
            </w:r>
          </w:p>
        </w:tc>
        <w:tc>
          <w:tcPr>
            <w:tcW w:w="2070" w:type="dxa"/>
          </w:tcPr>
          <w:p w14:paraId="72490650" w14:textId="677574DE" w:rsidR="00663974" w:rsidRDefault="00FE0662" w:rsidP="00FE0662">
            <w:pPr>
              <w:rPr>
                <w:szCs w:val="24"/>
              </w:rPr>
            </w:pPr>
            <w:r>
              <w:rPr>
                <w:szCs w:val="24"/>
              </w:rPr>
              <w:t>Broad Global</w:t>
            </w:r>
          </w:p>
        </w:tc>
        <w:tc>
          <w:tcPr>
            <w:tcW w:w="3150" w:type="dxa"/>
          </w:tcPr>
          <w:p w14:paraId="768410E3" w14:textId="6FD74BB8" w:rsidR="00663974" w:rsidRDefault="00FE0662" w:rsidP="00FE0662">
            <w:pPr>
              <w:rPr>
                <w:szCs w:val="24"/>
              </w:rPr>
            </w:pPr>
            <w:r>
              <w:rPr>
                <w:szCs w:val="24"/>
              </w:rPr>
              <w:t>BB Global Aggregate Credit</w:t>
            </w:r>
          </w:p>
        </w:tc>
      </w:tr>
      <w:tr w:rsidR="00663974" w14:paraId="15F97D2C" w14:textId="77777777" w:rsidTr="00663974">
        <w:tc>
          <w:tcPr>
            <w:tcW w:w="2155" w:type="dxa"/>
          </w:tcPr>
          <w:p w14:paraId="26F63651" w14:textId="4B9966C1" w:rsidR="00663974" w:rsidRDefault="00663974" w:rsidP="00FE0662">
            <w:pPr>
              <w:rPr>
                <w:szCs w:val="24"/>
              </w:rPr>
            </w:pPr>
            <w:r>
              <w:rPr>
                <w:szCs w:val="24"/>
              </w:rPr>
              <w:t>LM</w:t>
            </w:r>
          </w:p>
        </w:tc>
        <w:tc>
          <w:tcPr>
            <w:tcW w:w="1980" w:type="dxa"/>
          </w:tcPr>
          <w:p w14:paraId="4E8E9592" w14:textId="4516C44A" w:rsidR="00663974" w:rsidRDefault="00663974" w:rsidP="00FE0662">
            <w:pPr>
              <w:rPr>
                <w:szCs w:val="24"/>
              </w:rPr>
            </w:pPr>
            <w:r>
              <w:rPr>
                <w:szCs w:val="24"/>
              </w:rPr>
              <w:t>$65 million</w:t>
            </w:r>
          </w:p>
        </w:tc>
        <w:tc>
          <w:tcPr>
            <w:tcW w:w="2070" w:type="dxa"/>
          </w:tcPr>
          <w:p w14:paraId="4F0CDB34" w14:textId="6AFD159E" w:rsidR="00663974" w:rsidRDefault="00FE0662" w:rsidP="00FE0662">
            <w:pPr>
              <w:rPr>
                <w:szCs w:val="24"/>
              </w:rPr>
            </w:pPr>
            <w:r>
              <w:rPr>
                <w:szCs w:val="24"/>
              </w:rPr>
              <w:t>EMD</w:t>
            </w:r>
          </w:p>
        </w:tc>
        <w:tc>
          <w:tcPr>
            <w:tcW w:w="3150" w:type="dxa"/>
          </w:tcPr>
          <w:p w14:paraId="3B423993" w14:textId="24C293E4" w:rsidR="00663974" w:rsidRDefault="00FE0662" w:rsidP="00FE0662">
            <w:pPr>
              <w:rPr>
                <w:szCs w:val="24"/>
              </w:rPr>
            </w:pPr>
            <w:r>
              <w:rPr>
                <w:szCs w:val="24"/>
              </w:rPr>
              <w:t>JPM CEMBI</w:t>
            </w:r>
          </w:p>
        </w:tc>
      </w:tr>
      <w:tr w:rsidR="00663974" w14:paraId="640A5C2A" w14:textId="77777777" w:rsidTr="00663974">
        <w:tc>
          <w:tcPr>
            <w:tcW w:w="2155" w:type="dxa"/>
          </w:tcPr>
          <w:p w14:paraId="1F43C625" w14:textId="7B0D639A" w:rsidR="00663974" w:rsidRDefault="00663974" w:rsidP="00FE0662">
            <w:pPr>
              <w:rPr>
                <w:szCs w:val="24"/>
              </w:rPr>
            </w:pPr>
            <w:r>
              <w:rPr>
                <w:szCs w:val="24"/>
              </w:rPr>
              <w:t>RVX</w:t>
            </w:r>
          </w:p>
        </w:tc>
        <w:tc>
          <w:tcPr>
            <w:tcW w:w="1980" w:type="dxa"/>
          </w:tcPr>
          <w:p w14:paraId="06154606" w14:textId="084ADFB7" w:rsidR="00663974" w:rsidRDefault="00663974" w:rsidP="00FE0662">
            <w:pPr>
              <w:rPr>
                <w:szCs w:val="24"/>
              </w:rPr>
            </w:pPr>
            <w:r>
              <w:rPr>
                <w:szCs w:val="24"/>
              </w:rPr>
              <w:t>$60 million</w:t>
            </w:r>
          </w:p>
        </w:tc>
        <w:tc>
          <w:tcPr>
            <w:tcW w:w="2070" w:type="dxa"/>
          </w:tcPr>
          <w:p w14:paraId="792BF9B7" w14:textId="14114270" w:rsidR="00663974" w:rsidRDefault="00FE0662" w:rsidP="00FE0662">
            <w:pPr>
              <w:rPr>
                <w:szCs w:val="24"/>
              </w:rPr>
            </w:pPr>
            <w:r>
              <w:rPr>
                <w:szCs w:val="24"/>
              </w:rPr>
              <w:t>EMD</w:t>
            </w:r>
          </w:p>
        </w:tc>
        <w:tc>
          <w:tcPr>
            <w:tcW w:w="3150" w:type="dxa"/>
          </w:tcPr>
          <w:p w14:paraId="2717E1C2" w14:textId="278057B9" w:rsidR="00663974" w:rsidRDefault="00FE0662" w:rsidP="00FE0662">
            <w:pPr>
              <w:rPr>
                <w:szCs w:val="24"/>
              </w:rPr>
            </w:pPr>
            <w:r>
              <w:rPr>
                <w:szCs w:val="24"/>
              </w:rPr>
              <w:t>JPM CEMBI</w:t>
            </w:r>
          </w:p>
        </w:tc>
      </w:tr>
      <w:tr w:rsidR="00663974" w14:paraId="69AF4147" w14:textId="77777777" w:rsidTr="00663974">
        <w:tc>
          <w:tcPr>
            <w:tcW w:w="2155" w:type="dxa"/>
          </w:tcPr>
          <w:p w14:paraId="7C7EAC38" w14:textId="73F22F30" w:rsidR="00663974" w:rsidRDefault="00663974" w:rsidP="00FE0662">
            <w:pPr>
              <w:rPr>
                <w:szCs w:val="24"/>
              </w:rPr>
            </w:pPr>
            <w:r>
              <w:rPr>
                <w:szCs w:val="24"/>
              </w:rPr>
              <w:t>GIA</w:t>
            </w:r>
          </w:p>
        </w:tc>
        <w:tc>
          <w:tcPr>
            <w:tcW w:w="1980" w:type="dxa"/>
          </w:tcPr>
          <w:p w14:paraId="22A1CEF1" w14:textId="0766DDBE" w:rsidR="00663974" w:rsidRDefault="00663974" w:rsidP="00FE0662">
            <w:pPr>
              <w:rPr>
                <w:szCs w:val="24"/>
              </w:rPr>
            </w:pPr>
            <w:r>
              <w:rPr>
                <w:szCs w:val="24"/>
              </w:rPr>
              <w:t>$60 million</w:t>
            </w:r>
          </w:p>
        </w:tc>
        <w:tc>
          <w:tcPr>
            <w:tcW w:w="2070" w:type="dxa"/>
          </w:tcPr>
          <w:p w14:paraId="348CAAEC" w14:textId="294BDE57" w:rsidR="00663974" w:rsidRDefault="00FE0662" w:rsidP="00FE0662">
            <w:pPr>
              <w:rPr>
                <w:szCs w:val="24"/>
              </w:rPr>
            </w:pPr>
            <w:r>
              <w:rPr>
                <w:szCs w:val="24"/>
              </w:rPr>
              <w:t>EMD</w:t>
            </w:r>
          </w:p>
        </w:tc>
        <w:tc>
          <w:tcPr>
            <w:tcW w:w="3150" w:type="dxa"/>
          </w:tcPr>
          <w:p w14:paraId="1386027E" w14:textId="0EAE5272" w:rsidR="00663974" w:rsidRDefault="00FE0662" w:rsidP="00FE0662">
            <w:pPr>
              <w:rPr>
                <w:szCs w:val="24"/>
              </w:rPr>
            </w:pPr>
            <w:r>
              <w:rPr>
                <w:szCs w:val="24"/>
              </w:rPr>
              <w:t>JPM CEMBI</w:t>
            </w:r>
          </w:p>
        </w:tc>
      </w:tr>
      <w:tr w:rsidR="00663974" w14:paraId="242A93E4" w14:textId="77777777" w:rsidTr="00663974">
        <w:tc>
          <w:tcPr>
            <w:tcW w:w="2155" w:type="dxa"/>
          </w:tcPr>
          <w:p w14:paraId="03683B9B" w14:textId="701B632A" w:rsidR="00663974" w:rsidRDefault="00663974" w:rsidP="00FE0662">
            <w:pPr>
              <w:rPr>
                <w:szCs w:val="24"/>
              </w:rPr>
            </w:pPr>
            <w:r>
              <w:rPr>
                <w:szCs w:val="24"/>
              </w:rPr>
              <w:t>GIA</w:t>
            </w:r>
          </w:p>
        </w:tc>
        <w:tc>
          <w:tcPr>
            <w:tcW w:w="1980" w:type="dxa"/>
          </w:tcPr>
          <w:p w14:paraId="50C3519F" w14:textId="03437A34" w:rsidR="00663974" w:rsidRDefault="00663974" w:rsidP="00FE0662">
            <w:pPr>
              <w:rPr>
                <w:szCs w:val="24"/>
              </w:rPr>
            </w:pPr>
            <w:r>
              <w:rPr>
                <w:szCs w:val="24"/>
              </w:rPr>
              <w:t>$75 million</w:t>
            </w:r>
          </w:p>
        </w:tc>
        <w:tc>
          <w:tcPr>
            <w:tcW w:w="2070" w:type="dxa"/>
          </w:tcPr>
          <w:p w14:paraId="701F0FF5" w14:textId="3D5A0327" w:rsidR="00663974" w:rsidRDefault="00FE0662" w:rsidP="00FE0662">
            <w:pPr>
              <w:rPr>
                <w:szCs w:val="24"/>
              </w:rPr>
            </w:pPr>
            <w:r>
              <w:rPr>
                <w:szCs w:val="24"/>
              </w:rPr>
              <w:t>Global HY</w:t>
            </w:r>
          </w:p>
        </w:tc>
        <w:tc>
          <w:tcPr>
            <w:tcW w:w="3150" w:type="dxa"/>
          </w:tcPr>
          <w:p w14:paraId="72B429FB" w14:textId="73E0BD4D" w:rsidR="00663974" w:rsidRDefault="00FE0662" w:rsidP="00FE0662">
            <w:pPr>
              <w:rPr>
                <w:szCs w:val="24"/>
              </w:rPr>
            </w:pPr>
            <w:r>
              <w:rPr>
                <w:szCs w:val="24"/>
              </w:rPr>
              <w:t>BB Global HY</w:t>
            </w:r>
          </w:p>
        </w:tc>
      </w:tr>
      <w:tr w:rsidR="00663974" w14:paraId="5E611684" w14:textId="77777777" w:rsidTr="00FE0662">
        <w:tc>
          <w:tcPr>
            <w:tcW w:w="2155" w:type="dxa"/>
            <w:shd w:val="clear" w:color="auto" w:fill="D9D9D9" w:themeFill="background1" w:themeFillShade="D9"/>
          </w:tcPr>
          <w:p w14:paraId="107865E7" w14:textId="0D55C01F" w:rsidR="00663974" w:rsidRDefault="00663974" w:rsidP="00FE0662">
            <w:pPr>
              <w:rPr>
                <w:szCs w:val="24"/>
              </w:rPr>
            </w:pPr>
            <w:r>
              <w:rPr>
                <w:szCs w:val="24"/>
              </w:rPr>
              <w:t>Total</w:t>
            </w:r>
          </w:p>
        </w:tc>
        <w:tc>
          <w:tcPr>
            <w:tcW w:w="1980" w:type="dxa"/>
            <w:shd w:val="clear" w:color="auto" w:fill="D9D9D9" w:themeFill="background1" w:themeFillShade="D9"/>
          </w:tcPr>
          <w:p w14:paraId="75E9FAC0" w14:textId="497E6AD0" w:rsidR="00663974" w:rsidRDefault="00663974" w:rsidP="00FE0662">
            <w:pPr>
              <w:rPr>
                <w:szCs w:val="24"/>
              </w:rPr>
            </w:pPr>
            <w:r>
              <w:rPr>
                <w:szCs w:val="24"/>
              </w:rPr>
              <w:t>$350 million</w:t>
            </w:r>
          </w:p>
        </w:tc>
        <w:tc>
          <w:tcPr>
            <w:tcW w:w="2070" w:type="dxa"/>
            <w:shd w:val="clear" w:color="auto" w:fill="D9D9D9" w:themeFill="background1" w:themeFillShade="D9"/>
          </w:tcPr>
          <w:p w14:paraId="2C457B8E" w14:textId="34E40226" w:rsidR="00663974" w:rsidRDefault="00FE0662" w:rsidP="00FE0662">
            <w:pPr>
              <w:rPr>
                <w:szCs w:val="24"/>
              </w:rPr>
            </w:pPr>
            <w:r>
              <w:rPr>
                <w:szCs w:val="24"/>
              </w:rPr>
              <w:t>Blend</w:t>
            </w:r>
          </w:p>
        </w:tc>
        <w:tc>
          <w:tcPr>
            <w:tcW w:w="3150" w:type="dxa"/>
            <w:shd w:val="clear" w:color="auto" w:fill="D9D9D9" w:themeFill="background1" w:themeFillShade="D9"/>
          </w:tcPr>
          <w:p w14:paraId="00A1CE55" w14:textId="46D01D91" w:rsidR="00663974" w:rsidRDefault="00FE0662" w:rsidP="00FE0662">
            <w:pPr>
              <w:rPr>
                <w:szCs w:val="24"/>
              </w:rPr>
            </w:pPr>
            <w:r>
              <w:rPr>
                <w:szCs w:val="24"/>
              </w:rPr>
              <w:t>Custom Benchmark</w:t>
            </w:r>
          </w:p>
        </w:tc>
      </w:tr>
    </w:tbl>
    <w:p w14:paraId="2401BAFE" w14:textId="184552BF" w:rsidR="00663974" w:rsidRDefault="00663974" w:rsidP="00A10227">
      <w:pPr>
        <w:jc w:val="both"/>
        <w:rPr>
          <w:szCs w:val="24"/>
        </w:rPr>
      </w:pPr>
    </w:p>
    <w:p w14:paraId="59B1DBF8" w14:textId="77777777" w:rsidR="00663974" w:rsidRDefault="00663974" w:rsidP="00A10227">
      <w:pPr>
        <w:jc w:val="both"/>
        <w:rPr>
          <w:szCs w:val="24"/>
        </w:rPr>
      </w:pPr>
    </w:p>
    <w:p w14:paraId="5ED1B07B" w14:textId="716F663B" w:rsidR="00A10227" w:rsidRPr="00B52E14" w:rsidRDefault="00A10227" w:rsidP="00A10227">
      <w:pPr>
        <w:jc w:val="both"/>
        <w:rPr>
          <w:szCs w:val="24"/>
        </w:rPr>
      </w:pPr>
      <w:r w:rsidRPr="00B52E14">
        <w:rPr>
          <w:szCs w:val="24"/>
        </w:rPr>
        <w:t>All forms/required documents needed for submitting a Request for Proposal</w:t>
      </w:r>
      <w:r w:rsidR="004539CD" w:rsidRPr="00B52E14">
        <w:rPr>
          <w:szCs w:val="24"/>
        </w:rPr>
        <w:t xml:space="preserve"> (“RFP”) are available on the</w:t>
      </w:r>
      <w:r w:rsidRPr="00B52E14">
        <w:rPr>
          <w:szCs w:val="24"/>
        </w:rPr>
        <w:t xml:space="preserve"> SURS website at </w:t>
      </w:r>
      <w:hyperlink r:id="rId9" w:history="1">
        <w:r w:rsidRPr="00B52E14">
          <w:rPr>
            <w:rStyle w:val="Hyperlink"/>
            <w:szCs w:val="24"/>
          </w:rPr>
          <w:t>www.surs.org</w:t>
        </w:r>
      </w:hyperlink>
      <w:r w:rsidRPr="00B52E14">
        <w:rPr>
          <w:szCs w:val="24"/>
        </w:rPr>
        <w:t xml:space="preserve">.    </w:t>
      </w:r>
    </w:p>
    <w:p w14:paraId="2D6C3959" w14:textId="77777777" w:rsidR="00987C6B" w:rsidRPr="00B52E14" w:rsidRDefault="00987C6B" w:rsidP="00987C6B">
      <w:pPr>
        <w:jc w:val="left"/>
        <w:rPr>
          <w:rFonts w:eastAsia="Times New Roman"/>
        </w:rPr>
      </w:pPr>
    </w:p>
    <w:p w14:paraId="2BE0DCEE" w14:textId="77777777" w:rsidR="00F25937" w:rsidRPr="008E1DB2" w:rsidRDefault="00F25937" w:rsidP="00F25937">
      <w:pPr>
        <w:jc w:val="both"/>
        <w:rPr>
          <w:b/>
        </w:rPr>
      </w:pPr>
      <w:r w:rsidRPr="008E1DB2">
        <w:rPr>
          <w:b/>
        </w:rPr>
        <w:t>2</w:t>
      </w:r>
      <w:r w:rsidRPr="008E1DB2">
        <w:t xml:space="preserve">. </w:t>
      </w:r>
      <w:r w:rsidRPr="008E1DB2">
        <w:rPr>
          <w:b/>
        </w:rPr>
        <w:t>Background:</w:t>
      </w:r>
    </w:p>
    <w:p w14:paraId="6C8868E1" w14:textId="77777777" w:rsidR="00F25937" w:rsidRPr="008E1DB2" w:rsidRDefault="00F25937" w:rsidP="00F25937">
      <w:pPr>
        <w:jc w:val="both"/>
        <w:rPr>
          <w:b/>
        </w:rPr>
      </w:pPr>
    </w:p>
    <w:p w14:paraId="482C7873" w14:textId="77777777" w:rsidR="00F25937" w:rsidRPr="008E1DB2" w:rsidRDefault="00F25937" w:rsidP="00F25937">
      <w:pPr>
        <w:jc w:val="both"/>
      </w:pPr>
      <w:r w:rsidRPr="008E1DB2">
        <w:t xml:space="preserve">Created in 1941, SURS exists as a body politic and corporate </w:t>
      </w:r>
      <w:r w:rsidR="009F0FDB" w:rsidRPr="008E1DB2">
        <w:t xml:space="preserve">created under Article 15 of the Illinois Pension Code.  SURS is </w:t>
      </w:r>
      <w:r w:rsidRPr="008E1DB2">
        <w:t xml:space="preserve">governed by a board of trustees in accordance with Illinois Law. </w:t>
      </w:r>
      <w:r w:rsidR="00635BE1" w:rsidRPr="008E1DB2">
        <w:t xml:space="preserve"> </w:t>
      </w:r>
      <w:r w:rsidRPr="008E1DB2">
        <w:t xml:space="preserve">The SURS Board of Trustees currently consists of six (6) elected and five (5) appointed members, including the chair of the Illinois Board of Higher Education, who also serves as the chair of the SURS Board of Trustees. </w:t>
      </w:r>
      <w:r w:rsidR="00635BE1" w:rsidRPr="008E1DB2">
        <w:t xml:space="preserve"> </w:t>
      </w:r>
      <w:r w:rsidRPr="008E1DB2">
        <w:t>The SURS Board of Trustees de</w:t>
      </w:r>
      <w:r w:rsidR="009F0FDB" w:rsidRPr="008E1DB2">
        <w:t>legates their authority to the Executive D</w:t>
      </w:r>
      <w:r w:rsidRPr="008E1DB2">
        <w:t>irector and nearly 130 full-time staff in administering the provisions of Articles 1, 15 and 20 of the Illinois Pension Code (40 ILCS 5).</w:t>
      </w:r>
    </w:p>
    <w:p w14:paraId="6D159F3A" w14:textId="77777777" w:rsidR="00F25937" w:rsidRPr="008E1DB2" w:rsidRDefault="00F25937" w:rsidP="00F25937">
      <w:pPr>
        <w:jc w:val="both"/>
      </w:pPr>
    </w:p>
    <w:p w14:paraId="718A70E6" w14:textId="77777777" w:rsidR="00F25937" w:rsidRPr="008E1DB2" w:rsidRDefault="00F25937" w:rsidP="00F25937">
      <w:pPr>
        <w:jc w:val="both"/>
      </w:pPr>
      <w:r w:rsidRPr="008E1DB2">
        <w:t>Administrative functions performed by SURS Staff include processing retirement, survivor, disability and death benefits for more than 2</w:t>
      </w:r>
      <w:r w:rsidR="00E9147F" w:rsidRPr="008E1DB2">
        <w:t>30</w:t>
      </w:r>
      <w:r w:rsidRPr="008E1DB2">
        <w:t>,000 members who have current or previous employment w</w:t>
      </w:r>
      <w:r w:rsidR="00E9147F" w:rsidRPr="008E1DB2">
        <w:t xml:space="preserve">ith 61 </w:t>
      </w:r>
      <w:r w:rsidRPr="008E1DB2">
        <w:t xml:space="preserve">higher education entities in Illinois. </w:t>
      </w:r>
    </w:p>
    <w:p w14:paraId="671A1912" w14:textId="77777777" w:rsidR="00F25937" w:rsidRPr="008E1DB2" w:rsidRDefault="00F25937" w:rsidP="00F25937">
      <w:pPr>
        <w:jc w:val="both"/>
      </w:pPr>
    </w:p>
    <w:p w14:paraId="6F40A892" w14:textId="77777777" w:rsidR="00F25937" w:rsidRPr="008E1DB2" w:rsidRDefault="00F25937" w:rsidP="00F25937">
      <w:pPr>
        <w:jc w:val="both"/>
        <w:rPr>
          <w:rStyle w:val="Hyperlink"/>
        </w:rPr>
      </w:pPr>
      <w:r w:rsidRPr="008E1DB2">
        <w:t>Located in Champaign, Illinois SURS offices are rou</w:t>
      </w:r>
      <w:r w:rsidR="00CF1F69" w:rsidRPr="008E1DB2">
        <w:t>ghly 130 miles south of Chicago and</w:t>
      </w:r>
      <w:r w:rsidRPr="008E1DB2">
        <w:t xml:space="preserve"> 125 miles west of Indianapolis</w:t>
      </w:r>
      <w:r w:rsidR="00CF1F69" w:rsidRPr="008E1DB2">
        <w:t xml:space="preserve">. </w:t>
      </w:r>
      <w:r w:rsidRPr="008E1DB2">
        <w:t xml:space="preserve">Additional information regarding SURS can be obtained at </w:t>
      </w:r>
      <w:hyperlink r:id="rId10" w:history="1">
        <w:r w:rsidRPr="008E1DB2">
          <w:rPr>
            <w:rStyle w:val="Hyperlink"/>
          </w:rPr>
          <w:t>www.surs.org</w:t>
        </w:r>
      </w:hyperlink>
    </w:p>
    <w:p w14:paraId="1E8FCB7F" w14:textId="77777777" w:rsidR="00693DA3" w:rsidRPr="008E1DB2" w:rsidRDefault="00693DA3" w:rsidP="00F25937">
      <w:pPr>
        <w:jc w:val="both"/>
        <w:rPr>
          <w:rStyle w:val="Hyperlink"/>
        </w:rPr>
      </w:pPr>
    </w:p>
    <w:p w14:paraId="1EE0CAF4" w14:textId="77777777" w:rsidR="001007D0" w:rsidRDefault="001007D0" w:rsidP="00E65CC3">
      <w:pPr>
        <w:jc w:val="left"/>
        <w:rPr>
          <w:b/>
        </w:rPr>
      </w:pPr>
    </w:p>
    <w:p w14:paraId="35CC5D47" w14:textId="77777777" w:rsidR="001007D0" w:rsidRDefault="001007D0" w:rsidP="00E65CC3">
      <w:pPr>
        <w:jc w:val="left"/>
        <w:rPr>
          <w:b/>
        </w:rPr>
      </w:pPr>
    </w:p>
    <w:p w14:paraId="6FDB0C36" w14:textId="77777777" w:rsidR="001007D0" w:rsidRDefault="001007D0" w:rsidP="00E65CC3">
      <w:pPr>
        <w:jc w:val="left"/>
        <w:rPr>
          <w:b/>
        </w:rPr>
      </w:pPr>
    </w:p>
    <w:p w14:paraId="107A23A9" w14:textId="77777777" w:rsidR="001007D0" w:rsidRDefault="001007D0" w:rsidP="00E65CC3">
      <w:pPr>
        <w:jc w:val="left"/>
        <w:rPr>
          <w:b/>
        </w:rPr>
      </w:pPr>
    </w:p>
    <w:p w14:paraId="594ADB65" w14:textId="77777777" w:rsidR="001007D0" w:rsidRDefault="001007D0" w:rsidP="00E65CC3">
      <w:pPr>
        <w:jc w:val="left"/>
        <w:rPr>
          <w:b/>
        </w:rPr>
      </w:pPr>
    </w:p>
    <w:p w14:paraId="5F5C9B42" w14:textId="77777777" w:rsidR="001007D0" w:rsidRDefault="001007D0" w:rsidP="00E65CC3">
      <w:pPr>
        <w:jc w:val="left"/>
        <w:rPr>
          <w:b/>
        </w:rPr>
      </w:pPr>
    </w:p>
    <w:p w14:paraId="0D7E94B1" w14:textId="27CF8636" w:rsidR="00E65CC3" w:rsidRPr="008E1DB2" w:rsidRDefault="00E65CC3" w:rsidP="00E65CC3">
      <w:pPr>
        <w:jc w:val="left"/>
        <w:rPr>
          <w:b/>
        </w:rPr>
      </w:pPr>
      <w:r w:rsidRPr="008E1DB2">
        <w:rPr>
          <w:b/>
        </w:rPr>
        <w:t>Defined Benefit Plan Investment Program</w:t>
      </w:r>
    </w:p>
    <w:p w14:paraId="4C1AFDB4" w14:textId="77777777" w:rsidR="00A10227" w:rsidRPr="008E1DB2" w:rsidRDefault="001E5D6A" w:rsidP="00AF1538">
      <w:pPr>
        <w:pStyle w:val="BodyText2"/>
        <w:spacing w:line="300" w:lineRule="exact"/>
        <w:rPr>
          <w:b/>
        </w:rPr>
      </w:pPr>
      <w:r w:rsidRPr="008E1DB2">
        <w:rPr>
          <w:sz w:val="22"/>
          <w:szCs w:val="22"/>
        </w:rPr>
        <w:t xml:space="preserve">As of </w:t>
      </w:r>
      <w:r w:rsidR="002965DF" w:rsidRPr="008E1DB2">
        <w:rPr>
          <w:sz w:val="22"/>
          <w:szCs w:val="22"/>
        </w:rPr>
        <w:t>December 31, 2018</w:t>
      </w:r>
      <w:r w:rsidR="00E65CC3" w:rsidRPr="008E1DB2">
        <w:rPr>
          <w:sz w:val="22"/>
          <w:szCs w:val="22"/>
        </w:rPr>
        <w:t>, the Defined Benefit plan trust totaled $18 billion</w:t>
      </w:r>
      <w:r w:rsidR="00AF1538" w:rsidRPr="008E1DB2">
        <w:rPr>
          <w:sz w:val="22"/>
          <w:szCs w:val="22"/>
        </w:rPr>
        <w:t>.</w:t>
      </w:r>
      <w:r w:rsidR="00E65CC3" w:rsidRPr="008E1DB2">
        <w:rPr>
          <w:sz w:val="22"/>
          <w:szCs w:val="22"/>
        </w:rPr>
        <w:t xml:space="preserve"> </w:t>
      </w:r>
      <w:r w:rsidR="00FC5221" w:rsidRPr="008E1DB2">
        <w:rPr>
          <w:sz w:val="22"/>
          <w:szCs w:val="22"/>
        </w:rPr>
        <w:t>In September 2018, the SURS Board of Trustees approved a new strategic allocation and is in the process of implementing the new targets.  It is expected that the implementation of the following targets will be done over a period of several years.</w:t>
      </w:r>
    </w:p>
    <w:p w14:paraId="4283AD18" w14:textId="77777777" w:rsidR="001E5D6A" w:rsidRPr="008E1DB2" w:rsidRDefault="001E5D6A" w:rsidP="006C7B6C">
      <w:pPr>
        <w:jc w:val="both"/>
        <w:rPr>
          <w:rFonts w:eastAsia="Times New Roman"/>
        </w:rPr>
      </w:pPr>
    </w:p>
    <w:p w14:paraId="50944F3B" w14:textId="77777777" w:rsidR="0036359F" w:rsidRPr="008E1DB2" w:rsidRDefault="0036359F" w:rsidP="001E5D6A">
      <w:pPr>
        <w:jc w:val="both"/>
      </w:pPr>
    </w:p>
    <w:p w14:paraId="64B05848" w14:textId="77777777" w:rsidR="001E5D6A" w:rsidRPr="008E1DB2" w:rsidRDefault="001E5D6A" w:rsidP="0036359F">
      <w:pPr>
        <w:jc w:val="both"/>
      </w:pPr>
      <w:r w:rsidRPr="008E1DB2">
        <w:tab/>
      </w:r>
      <w:r w:rsidRPr="008E1DB2">
        <w:rPr>
          <w:i/>
        </w:rPr>
        <w:tab/>
      </w:r>
      <w:r w:rsidRPr="008E1DB2">
        <w:rPr>
          <w:i/>
        </w:rPr>
        <w:tab/>
      </w:r>
      <w:r w:rsidRPr="008E1DB2">
        <w:rPr>
          <w:i/>
        </w:rPr>
        <w:tab/>
      </w:r>
      <w:r w:rsidRPr="008E1DB2">
        <w:rPr>
          <w:i/>
        </w:rPr>
        <w:tab/>
      </w:r>
      <w:r w:rsidRPr="008E1DB2">
        <w:rPr>
          <w:i/>
        </w:rPr>
        <w:tab/>
      </w:r>
      <w:r w:rsidRPr="008E1DB2">
        <w:rPr>
          <w:i/>
        </w:rPr>
        <w:tab/>
      </w:r>
      <w:r w:rsidRPr="008E1DB2">
        <w:rPr>
          <w:i/>
        </w:rPr>
        <w:tab/>
      </w:r>
      <w:r w:rsidRPr="008E1DB2">
        <w:rPr>
          <w:i/>
        </w:rPr>
        <w:tab/>
      </w:r>
      <w:r w:rsidRPr="008E1DB2">
        <w:rPr>
          <w:b/>
          <w:u w:val="single"/>
        </w:rPr>
        <w:t>Target</w:t>
      </w:r>
      <w:r w:rsidRPr="008E1DB2">
        <w:tab/>
      </w:r>
      <w:r w:rsidRPr="008E1DB2">
        <w:tab/>
      </w:r>
      <w:r w:rsidRPr="008E1DB2">
        <w:rPr>
          <w:i/>
        </w:rPr>
        <w:tab/>
      </w:r>
      <w:r w:rsidRPr="008E1DB2">
        <w:rPr>
          <w:i/>
        </w:rPr>
        <w:tab/>
      </w:r>
    </w:p>
    <w:p w14:paraId="5C37B7CB" w14:textId="3AE2DB51" w:rsidR="001E5D6A" w:rsidRPr="008E1DB2" w:rsidRDefault="001E5D6A" w:rsidP="001E5D6A">
      <w:pPr>
        <w:pStyle w:val="EndnoteText"/>
        <w:widowControl/>
        <w:tabs>
          <w:tab w:val="left" w:pos="2160"/>
          <w:tab w:val="left" w:pos="5760"/>
        </w:tabs>
        <w:spacing w:line="300" w:lineRule="exact"/>
        <w:jc w:val="both"/>
        <w:rPr>
          <w:rFonts w:ascii="Times New Roman" w:hAnsi="Times New Roman"/>
          <w:snapToGrid/>
          <w:sz w:val="22"/>
          <w:szCs w:val="22"/>
        </w:rPr>
      </w:pPr>
      <w:r w:rsidRPr="008E1DB2">
        <w:rPr>
          <w:rFonts w:ascii="Times New Roman" w:hAnsi="Times New Roman"/>
          <w:snapToGrid/>
          <w:sz w:val="22"/>
          <w:szCs w:val="22"/>
        </w:rPr>
        <w:tab/>
        <w:t>Non-Traditional Growth</w:t>
      </w:r>
      <w:r w:rsidR="008E1DB2">
        <w:rPr>
          <w:rFonts w:ascii="Times New Roman" w:hAnsi="Times New Roman"/>
          <w:snapToGrid/>
          <w:sz w:val="22"/>
          <w:szCs w:val="22"/>
        </w:rPr>
        <w:tab/>
      </w:r>
      <w:r w:rsidR="008E1DB2">
        <w:rPr>
          <w:rFonts w:ascii="Times New Roman" w:hAnsi="Times New Roman"/>
          <w:snapToGrid/>
          <w:sz w:val="22"/>
          <w:szCs w:val="22"/>
        </w:rPr>
        <w:tab/>
      </w:r>
      <w:r w:rsidRPr="008E1DB2">
        <w:rPr>
          <w:rFonts w:ascii="Times New Roman" w:hAnsi="Times New Roman"/>
          <w:snapToGrid/>
          <w:sz w:val="22"/>
          <w:szCs w:val="22"/>
        </w:rPr>
        <w:t xml:space="preserve">   15%</w:t>
      </w:r>
      <w:r w:rsidRPr="008E1DB2">
        <w:rPr>
          <w:rFonts w:ascii="Times New Roman" w:hAnsi="Times New Roman"/>
          <w:snapToGrid/>
          <w:sz w:val="22"/>
          <w:szCs w:val="22"/>
        </w:rPr>
        <w:tab/>
      </w:r>
      <w:r w:rsidRPr="008E1DB2">
        <w:rPr>
          <w:rFonts w:ascii="Times New Roman" w:hAnsi="Times New Roman"/>
          <w:snapToGrid/>
          <w:sz w:val="22"/>
          <w:szCs w:val="22"/>
        </w:rPr>
        <w:tab/>
      </w:r>
      <w:r w:rsidRPr="008E1DB2">
        <w:rPr>
          <w:rFonts w:ascii="Times New Roman" w:hAnsi="Times New Roman"/>
          <w:snapToGrid/>
          <w:sz w:val="22"/>
          <w:szCs w:val="22"/>
        </w:rPr>
        <w:tab/>
      </w:r>
    </w:p>
    <w:p w14:paraId="6092C754" w14:textId="7F17BEDD" w:rsidR="001E5D6A" w:rsidRPr="008E1DB2" w:rsidRDefault="001E5D6A" w:rsidP="001E5D6A">
      <w:pPr>
        <w:spacing w:line="300" w:lineRule="exact"/>
        <w:ind w:left="2160"/>
        <w:jc w:val="both"/>
      </w:pPr>
      <w:r w:rsidRPr="008E1DB2">
        <w:t>Traditional Growth</w:t>
      </w:r>
      <w:r w:rsidRPr="008E1DB2">
        <w:tab/>
      </w:r>
      <w:r w:rsidRPr="008E1DB2">
        <w:tab/>
      </w:r>
      <w:r w:rsidR="008E1DB2">
        <w:tab/>
      </w:r>
      <w:r w:rsidR="008E1DB2">
        <w:tab/>
      </w:r>
      <w:r w:rsidRPr="008E1DB2">
        <w:t xml:space="preserve">  </w:t>
      </w:r>
      <w:r w:rsidR="008E1DB2">
        <w:t xml:space="preserve"> </w:t>
      </w:r>
      <w:r w:rsidRPr="008E1DB2">
        <w:t>2</w:t>
      </w:r>
      <w:r w:rsidR="008E1DB2">
        <w:t>5</w:t>
      </w:r>
      <w:r w:rsidRPr="008E1DB2">
        <w:t>%</w:t>
      </w:r>
      <w:r w:rsidRPr="008E1DB2">
        <w:tab/>
      </w:r>
    </w:p>
    <w:p w14:paraId="79F5C086" w14:textId="77777777" w:rsidR="001E5D6A" w:rsidRPr="008E1DB2" w:rsidRDefault="001E5D6A" w:rsidP="001E5D6A">
      <w:pPr>
        <w:spacing w:line="300" w:lineRule="exact"/>
        <w:ind w:left="2160"/>
        <w:jc w:val="both"/>
      </w:pPr>
      <w:r w:rsidRPr="008E1DB2">
        <w:t>Stabilized Growth</w:t>
      </w:r>
      <w:r w:rsidRPr="008E1DB2">
        <w:tab/>
      </w:r>
      <w:r w:rsidRPr="008E1DB2">
        <w:tab/>
      </w:r>
      <w:r w:rsidRPr="008E1DB2">
        <w:tab/>
        <w:t xml:space="preserve">    </w:t>
      </w:r>
      <w:r w:rsidRPr="008E1DB2">
        <w:tab/>
        <w:t xml:space="preserve">   26%</w:t>
      </w:r>
      <w:r w:rsidRPr="008E1DB2">
        <w:tab/>
        <w:t xml:space="preserve"> </w:t>
      </w:r>
      <w:r w:rsidRPr="008E1DB2">
        <w:tab/>
        <w:t xml:space="preserve">  </w:t>
      </w:r>
    </w:p>
    <w:p w14:paraId="63E7BACE" w14:textId="6A036F91" w:rsidR="001E5D6A" w:rsidRPr="008E1DB2" w:rsidRDefault="001E5D6A" w:rsidP="001E5D6A">
      <w:pPr>
        <w:spacing w:line="300" w:lineRule="exact"/>
        <w:ind w:left="2160"/>
        <w:jc w:val="both"/>
      </w:pPr>
      <w:r w:rsidRPr="008E1DB2">
        <w:t>Inflation Protection</w:t>
      </w:r>
      <w:r w:rsidRPr="008E1DB2">
        <w:tab/>
      </w:r>
      <w:r w:rsidRPr="008E1DB2">
        <w:tab/>
      </w:r>
      <w:r w:rsidRPr="008E1DB2">
        <w:tab/>
        <w:t xml:space="preserve">      </w:t>
      </w:r>
      <w:r w:rsidR="008E1DB2">
        <w:tab/>
        <w:t xml:space="preserve">     </w:t>
      </w:r>
      <w:r w:rsidRPr="008E1DB2">
        <w:t xml:space="preserve">6% </w:t>
      </w:r>
    </w:p>
    <w:p w14:paraId="4BF660DA" w14:textId="7FD34EBA" w:rsidR="001E5D6A" w:rsidRPr="008E1DB2" w:rsidRDefault="001E5D6A" w:rsidP="001E5D6A">
      <w:pPr>
        <w:spacing w:line="300" w:lineRule="exact"/>
        <w:ind w:left="2160"/>
        <w:jc w:val="both"/>
      </w:pPr>
      <w:r w:rsidRPr="008E1DB2">
        <w:t>Principal Protection</w:t>
      </w:r>
      <w:r w:rsidRPr="008E1DB2">
        <w:tab/>
      </w:r>
      <w:r w:rsidRPr="008E1DB2">
        <w:tab/>
        <w:t xml:space="preserve">     </w:t>
      </w:r>
      <w:r w:rsidR="008E1DB2">
        <w:tab/>
      </w:r>
      <w:r w:rsidR="008E1DB2">
        <w:tab/>
        <w:t xml:space="preserve">     </w:t>
      </w:r>
      <w:r w:rsidRPr="008E1DB2">
        <w:t>8%</w:t>
      </w:r>
    </w:p>
    <w:p w14:paraId="45EE7A3D" w14:textId="77777777" w:rsidR="001E5D6A" w:rsidRPr="008E1DB2" w:rsidRDefault="001E5D6A" w:rsidP="001E5D6A">
      <w:pPr>
        <w:spacing w:line="300" w:lineRule="exact"/>
        <w:ind w:left="2160"/>
        <w:jc w:val="both"/>
      </w:pPr>
      <w:r w:rsidRPr="008E1DB2">
        <w:t>Crisis Risk Offset</w:t>
      </w:r>
      <w:r w:rsidRPr="008E1DB2">
        <w:tab/>
      </w:r>
      <w:r w:rsidRPr="008E1DB2">
        <w:tab/>
      </w:r>
      <w:r w:rsidRPr="008E1DB2">
        <w:tab/>
        <w:t xml:space="preserve">    </w:t>
      </w:r>
      <w:r w:rsidRPr="008E1DB2">
        <w:tab/>
        <w:t xml:space="preserve">   20%</w:t>
      </w:r>
      <w:r w:rsidRPr="008E1DB2">
        <w:tab/>
      </w:r>
    </w:p>
    <w:p w14:paraId="68D45757" w14:textId="77777777" w:rsidR="001E5D6A" w:rsidRPr="008E1DB2" w:rsidRDefault="001E5D6A" w:rsidP="006C7B6C">
      <w:pPr>
        <w:jc w:val="both"/>
        <w:rPr>
          <w:rFonts w:eastAsia="Times New Roman"/>
          <w:b/>
        </w:rPr>
      </w:pPr>
    </w:p>
    <w:p w14:paraId="35279500" w14:textId="77777777" w:rsidR="00CF1F69" w:rsidRPr="008E1DB2" w:rsidRDefault="00CF1F69" w:rsidP="006C7B6C">
      <w:pPr>
        <w:jc w:val="both"/>
        <w:rPr>
          <w:rFonts w:eastAsia="Times New Roman"/>
          <w:b/>
        </w:rPr>
      </w:pPr>
    </w:p>
    <w:p w14:paraId="1E0E82A3" w14:textId="7D13A97D" w:rsidR="00C93983" w:rsidRPr="008E1DB2" w:rsidRDefault="00C93983" w:rsidP="006C7B6C">
      <w:pPr>
        <w:jc w:val="both"/>
        <w:rPr>
          <w:rFonts w:eastAsia="Times New Roman"/>
          <w:b/>
        </w:rPr>
      </w:pPr>
      <w:r w:rsidRPr="008E1DB2">
        <w:rPr>
          <w:rFonts w:eastAsia="Times New Roman"/>
          <w:b/>
        </w:rPr>
        <w:t>SURS Staffing</w:t>
      </w:r>
    </w:p>
    <w:p w14:paraId="2DB67059" w14:textId="77777777" w:rsidR="00C93983" w:rsidRPr="008E1DB2" w:rsidRDefault="00C93983" w:rsidP="006C7B6C">
      <w:pPr>
        <w:jc w:val="both"/>
        <w:rPr>
          <w:rFonts w:eastAsia="Times New Roman"/>
        </w:rPr>
      </w:pPr>
      <w:r w:rsidRPr="008E1DB2">
        <w:rPr>
          <w:rFonts w:eastAsia="Times New Roman"/>
        </w:rPr>
        <w:t xml:space="preserve">The SURS investment </w:t>
      </w:r>
      <w:r w:rsidR="002347C8" w:rsidRPr="008E1DB2">
        <w:rPr>
          <w:rFonts w:eastAsia="Times New Roman"/>
        </w:rPr>
        <w:t>team currently consists of nine</w:t>
      </w:r>
      <w:r w:rsidRPr="008E1DB2">
        <w:rPr>
          <w:rFonts w:eastAsia="Times New Roman"/>
        </w:rPr>
        <w:t xml:space="preserve"> members.  These include: </w:t>
      </w:r>
    </w:p>
    <w:p w14:paraId="4B00C499" w14:textId="77777777" w:rsidR="00C93983" w:rsidRPr="008E1DB2" w:rsidRDefault="00C93983" w:rsidP="00573AAF">
      <w:pPr>
        <w:pStyle w:val="ListParagraph"/>
        <w:numPr>
          <w:ilvl w:val="0"/>
          <w:numId w:val="8"/>
        </w:numPr>
        <w:jc w:val="both"/>
        <w:rPr>
          <w:rFonts w:eastAsia="Times New Roman"/>
        </w:rPr>
      </w:pPr>
      <w:r w:rsidRPr="008E1DB2">
        <w:rPr>
          <w:rFonts w:eastAsia="Times New Roman"/>
        </w:rPr>
        <w:t>Chief Investment Officer</w:t>
      </w:r>
    </w:p>
    <w:p w14:paraId="7782F93F" w14:textId="77777777" w:rsidR="00C93983" w:rsidRPr="008E1DB2" w:rsidRDefault="00C93983" w:rsidP="00573AAF">
      <w:pPr>
        <w:pStyle w:val="ListParagraph"/>
        <w:numPr>
          <w:ilvl w:val="0"/>
          <w:numId w:val="8"/>
        </w:numPr>
        <w:jc w:val="both"/>
        <w:rPr>
          <w:rFonts w:eastAsia="Times New Roman"/>
        </w:rPr>
      </w:pPr>
      <w:r w:rsidRPr="008E1DB2">
        <w:rPr>
          <w:rFonts w:eastAsia="Times New Roman"/>
        </w:rPr>
        <w:t>Deputy Chief Inv</w:t>
      </w:r>
      <w:r w:rsidR="006C6857" w:rsidRPr="008E1DB2">
        <w:rPr>
          <w:rFonts w:eastAsia="Times New Roman"/>
        </w:rPr>
        <w:t>estment Officer</w:t>
      </w:r>
      <w:r w:rsidRPr="008E1DB2">
        <w:rPr>
          <w:rFonts w:eastAsia="Times New Roman"/>
        </w:rPr>
        <w:t xml:space="preserve"> </w:t>
      </w:r>
    </w:p>
    <w:p w14:paraId="76A0D3A7" w14:textId="017B38F5" w:rsidR="00C93983" w:rsidRPr="008E1DB2" w:rsidRDefault="00C93983" w:rsidP="00573AAF">
      <w:pPr>
        <w:pStyle w:val="ListParagraph"/>
        <w:numPr>
          <w:ilvl w:val="0"/>
          <w:numId w:val="8"/>
        </w:numPr>
        <w:jc w:val="both"/>
        <w:rPr>
          <w:rFonts w:eastAsia="Times New Roman"/>
        </w:rPr>
      </w:pPr>
      <w:r w:rsidRPr="008E1DB2">
        <w:rPr>
          <w:rFonts w:eastAsia="Times New Roman"/>
        </w:rPr>
        <w:t>Three Senior Investment Officers</w:t>
      </w:r>
      <w:r w:rsidR="00FF6D67" w:rsidRPr="008E1DB2">
        <w:rPr>
          <w:rFonts w:eastAsia="Times New Roman"/>
        </w:rPr>
        <w:t xml:space="preserve"> individually</w:t>
      </w:r>
      <w:r w:rsidRPr="008E1DB2">
        <w:rPr>
          <w:rFonts w:eastAsia="Times New Roman"/>
        </w:rPr>
        <w:t xml:space="preserve"> responsible for </w:t>
      </w:r>
      <w:r w:rsidR="00DF51B1" w:rsidRPr="008E1DB2">
        <w:rPr>
          <w:rFonts w:eastAsia="Times New Roman"/>
        </w:rPr>
        <w:t>Private Equity (including hedged strategies)</w:t>
      </w:r>
      <w:r w:rsidRPr="008E1DB2">
        <w:rPr>
          <w:rFonts w:eastAsia="Times New Roman"/>
        </w:rPr>
        <w:t>, Fixed Income (including Core Fixed Income, Emerging Markets Debt, and TIPS), and Real Assets (including Real Estate, REITs, Infrastructure, and Commodities)</w:t>
      </w:r>
    </w:p>
    <w:p w14:paraId="12E4B1EB" w14:textId="33F86B9D" w:rsidR="00C93983" w:rsidRPr="008E1DB2" w:rsidRDefault="00DF51B1" w:rsidP="00573AAF">
      <w:pPr>
        <w:pStyle w:val="ListParagraph"/>
        <w:numPr>
          <w:ilvl w:val="0"/>
          <w:numId w:val="8"/>
        </w:numPr>
        <w:jc w:val="both"/>
        <w:rPr>
          <w:rFonts w:eastAsia="Times New Roman"/>
        </w:rPr>
      </w:pPr>
      <w:r w:rsidRPr="008E1DB2">
        <w:rPr>
          <w:rFonts w:eastAsia="Times New Roman"/>
        </w:rPr>
        <w:t>One</w:t>
      </w:r>
      <w:r w:rsidR="00C93983" w:rsidRPr="008E1DB2">
        <w:rPr>
          <w:rFonts w:eastAsia="Times New Roman"/>
        </w:rPr>
        <w:t xml:space="preserve"> </w:t>
      </w:r>
      <w:r w:rsidRPr="008E1DB2">
        <w:rPr>
          <w:rFonts w:eastAsia="Times New Roman"/>
        </w:rPr>
        <w:t xml:space="preserve">Associate </w:t>
      </w:r>
      <w:r w:rsidR="00C93983" w:rsidRPr="008E1DB2">
        <w:rPr>
          <w:rFonts w:eastAsia="Times New Roman"/>
        </w:rPr>
        <w:t>Investment</w:t>
      </w:r>
      <w:r w:rsidRPr="008E1DB2">
        <w:rPr>
          <w:rFonts w:eastAsia="Times New Roman"/>
        </w:rPr>
        <w:t xml:space="preserve"> Officer responsible for Public Equity</w:t>
      </w:r>
    </w:p>
    <w:p w14:paraId="76B84BC3" w14:textId="4A86A3DC" w:rsidR="00DF51B1" w:rsidRPr="008E1DB2" w:rsidRDefault="00DF51B1" w:rsidP="00573AAF">
      <w:pPr>
        <w:pStyle w:val="ListParagraph"/>
        <w:numPr>
          <w:ilvl w:val="0"/>
          <w:numId w:val="8"/>
        </w:numPr>
        <w:jc w:val="both"/>
        <w:rPr>
          <w:rFonts w:eastAsia="Times New Roman"/>
        </w:rPr>
      </w:pPr>
      <w:r w:rsidRPr="008E1DB2">
        <w:rPr>
          <w:rFonts w:eastAsia="Times New Roman"/>
        </w:rPr>
        <w:t>One Investment Officer</w:t>
      </w:r>
    </w:p>
    <w:p w14:paraId="6A8A4EC6" w14:textId="77777777" w:rsidR="00C93983" w:rsidRPr="008E1DB2" w:rsidRDefault="00895A20" w:rsidP="00573AAF">
      <w:pPr>
        <w:pStyle w:val="ListParagraph"/>
        <w:numPr>
          <w:ilvl w:val="0"/>
          <w:numId w:val="8"/>
        </w:numPr>
        <w:jc w:val="both"/>
        <w:rPr>
          <w:rFonts w:eastAsia="Times New Roman"/>
        </w:rPr>
      </w:pPr>
      <w:r w:rsidRPr="008E1DB2">
        <w:rPr>
          <w:rFonts w:eastAsia="Times New Roman"/>
        </w:rPr>
        <w:t>Two</w:t>
      </w:r>
      <w:r w:rsidR="00FF6D67" w:rsidRPr="008E1DB2">
        <w:rPr>
          <w:rFonts w:eastAsia="Times New Roman"/>
        </w:rPr>
        <w:t xml:space="preserve"> Investment Analyst</w:t>
      </w:r>
      <w:r w:rsidRPr="008E1DB2">
        <w:rPr>
          <w:rFonts w:eastAsia="Times New Roman"/>
        </w:rPr>
        <w:t>s</w:t>
      </w:r>
      <w:r w:rsidR="00FF6D67" w:rsidRPr="008E1DB2">
        <w:rPr>
          <w:rFonts w:eastAsia="Times New Roman"/>
        </w:rPr>
        <w:t xml:space="preserve"> </w:t>
      </w:r>
    </w:p>
    <w:p w14:paraId="56FCE9EE" w14:textId="77777777" w:rsidR="00C93983" w:rsidRPr="008E1DB2" w:rsidRDefault="00C93983" w:rsidP="006C7B6C">
      <w:pPr>
        <w:jc w:val="both"/>
        <w:rPr>
          <w:rFonts w:eastAsia="Times New Roman"/>
        </w:rPr>
      </w:pPr>
      <w:r w:rsidRPr="008E1DB2">
        <w:rPr>
          <w:rFonts w:eastAsia="Times New Roman"/>
        </w:rPr>
        <w:t xml:space="preserve"> </w:t>
      </w:r>
    </w:p>
    <w:p w14:paraId="3FA72DCC" w14:textId="77777777" w:rsidR="00630324" w:rsidRPr="008E1DB2" w:rsidRDefault="00FF6D67" w:rsidP="006C7B6C">
      <w:pPr>
        <w:jc w:val="both"/>
        <w:rPr>
          <w:rFonts w:eastAsia="Times New Roman"/>
        </w:rPr>
      </w:pPr>
      <w:r w:rsidRPr="008E1DB2">
        <w:rPr>
          <w:rFonts w:eastAsia="Times New Roman"/>
        </w:rPr>
        <w:t xml:space="preserve">Broader System resources are also utilized, including accounting and internal/external legal counsel.  </w:t>
      </w:r>
      <w:r w:rsidR="00630324" w:rsidRPr="008E1DB2">
        <w:rPr>
          <w:rFonts w:eastAsia="Times New Roman"/>
        </w:rPr>
        <w:t>Additionally, Northern Trust serves as the System’s master custodian</w:t>
      </w:r>
      <w:r w:rsidR="00114465" w:rsidRPr="008E1DB2">
        <w:rPr>
          <w:rFonts w:eastAsia="Times New Roman"/>
        </w:rPr>
        <w:t xml:space="preserve"> for the defined benefit plan</w:t>
      </w:r>
      <w:r w:rsidR="00630324" w:rsidRPr="008E1DB2">
        <w:rPr>
          <w:rFonts w:eastAsia="Times New Roman"/>
        </w:rPr>
        <w:t>, providing various management and administrative services.</w:t>
      </w:r>
    </w:p>
    <w:p w14:paraId="0B94B8E3" w14:textId="77777777" w:rsidR="00287760" w:rsidRPr="008E1DB2" w:rsidRDefault="00287760" w:rsidP="006C7B6C">
      <w:pPr>
        <w:jc w:val="both"/>
        <w:rPr>
          <w:rFonts w:eastAsia="Times New Roman"/>
        </w:rPr>
      </w:pPr>
    </w:p>
    <w:p w14:paraId="6385A4C5" w14:textId="77777777" w:rsidR="00F25937" w:rsidRPr="008E1DB2" w:rsidRDefault="00F25937" w:rsidP="00B133B4">
      <w:pPr>
        <w:spacing w:line="300" w:lineRule="exact"/>
        <w:jc w:val="both"/>
      </w:pPr>
      <w:r w:rsidRPr="008E1DB2">
        <w:rPr>
          <w:b/>
        </w:rPr>
        <w:t>SECTION II: REQUEST FOR PROPOSAL OBJECTIVE</w:t>
      </w:r>
    </w:p>
    <w:p w14:paraId="190EFE46" w14:textId="77777777" w:rsidR="00F25937" w:rsidRPr="00B52E14" w:rsidRDefault="00F25937" w:rsidP="00F25937">
      <w:pPr>
        <w:jc w:val="both"/>
        <w:rPr>
          <w:b/>
          <w:highlight w:val="yellow"/>
        </w:rPr>
      </w:pPr>
    </w:p>
    <w:p w14:paraId="6F3D7BB3" w14:textId="77777777" w:rsidR="00F25937" w:rsidRPr="00B52E14" w:rsidRDefault="00F25937" w:rsidP="00F25937">
      <w:pPr>
        <w:jc w:val="both"/>
        <w:rPr>
          <w:b/>
        </w:rPr>
      </w:pPr>
      <w:r w:rsidRPr="00B52E14">
        <w:rPr>
          <w:b/>
        </w:rPr>
        <w:t xml:space="preserve">1. Purpose of Request for Proposal </w:t>
      </w:r>
    </w:p>
    <w:p w14:paraId="24BF6BAE" w14:textId="77777777" w:rsidR="00F25937" w:rsidRPr="00B52E14" w:rsidRDefault="00F25937" w:rsidP="00F25937">
      <w:pPr>
        <w:jc w:val="both"/>
        <w:rPr>
          <w:b/>
        </w:rPr>
      </w:pPr>
    </w:p>
    <w:p w14:paraId="5E92AA2E" w14:textId="7431EA4E" w:rsidR="008642FC" w:rsidRPr="00B52E14" w:rsidRDefault="00AF1538" w:rsidP="008642FC">
      <w:pPr>
        <w:jc w:val="both"/>
      </w:pPr>
      <w:r w:rsidRPr="00B52E14">
        <w:rPr>
          <w:szCs w:val="24"/>
        </w:rPr>
        <w:t>SURS</w:t>
      </w:r>
      <w:r w:rsidR="008642FC" w:rsidRPr="00B52E14">
        <w:rPr>
          <w:szCs w:val="24"/>
        </w:rPr>
        <w:t xml:space="preserve"> is requesting proposals from qualified </w:t>
      </w:r>
      <w:r w:rsidR="00B52E14">
        <w:rPr>
          <w:szCs w:val="24"/>
        </w:rPr>
        <w:t xml:space="preserve">Manager of Manager </w:t>
      </w:r>
      <w:r w:rsidR="008642FC" w:rsidRPr="00B52E14">
        <w:rPr>
          <w:szCs w:val="24"/>
        </w:rPr>
        <w:t>firms interested in providing</w:t>
      </w:r>
      <w:r w:rsidR="009F42D9" w:rsidRPr="00B52E14">
        <w:rPr>
          <w:szCs w:val="24"/>
        </w:rPr>
        <w:t xml:space="preserve"> diversified</w:t>
      </w:r>
      <w:r w:rsidR="008642FC" w:rsidRPr="00B52E14">
        <w:rPr>
          <w:szCs w:val="24"/>
        </w:rPr>
        <w:t xml:space="preserve"> </w:t>
      </w:r>
      <w:r w:rsidR="0004605E" w:rsidRPr="00B52E14">
        <w:rPr>
          <w:b/>
          <w:i/>
          <w:szCs w:val="24"/>
        </w:rPr>
        <w:t xml:space="preserve">Global </w:t>
      </w:r>
      <w:r w:rsidR="00B52E14">
        <w:rPr>
          <w:b/>
          <w:i/>
          <w:szCs w:val="24"/>
        </w:rPr>
        <w:t>Credit</w:t>
      </w:r>
      <w:r w:rsidR="008642FC" w:rsidRPr="00B52E14">
        <w:rPr>
          <w:b/>
          <w:i/>
          <w:szCs w:val="24"/>
        </w:rPr>
        <w:t xml:space="preserve"> Strategies </w:t>
      </w:r>
      <w:r w:rsidR="008642FC" w:rsidRPr="00B52E14">
        <w:rPr>
          <w:szCs w:val="24"/>
        </w:rPr>
        <w:t>(“Strategies”)</w:t>
      </w:r>
      <w:r w:rsidRPr="00B52E14">
        <w:rPr>
          <w:szCs w:val="24"/>
        </w:rPr>
        <w:t xml:space="preserve"> to SURS</w:t>
      </w:r>
      <w:r w:rsidR="008642FC" w:rsidRPr="00B52E14">
        <w:rPr>
          <w:szCs w:val="24"/>
        </w:rPr>
        <w:t>.</w:t>
      </w:r>
      <w:r w:rsidR="00B52E14">
        <w:rPr>
          <w:szCs w:val="24"/>
        </w:rPr>
        <w:t xml:space="preserve">  The underlying portfolio managers shall be broadly diversified across market, sectors, securities</w:t>
      </w:r>
      <w:r w:rsidR="00060893">
        <w:rPr>
          <w:szCs w:val="24"/>
        </w:rPr>
        <w:t xml:space="preserve"> and maturities in a manner that is consistent with accepted standard of prudence.  </w:t>
      </w:r>
      <w:bookmarkStart w:id="1" w:name="_Hlk29541805"/>
      <w:r w:rsidR="00060893">
        <w:rPr>
          <w:szCs w:val="24"/>
        </w:rPr>
        <w:t>Underlying portfolio strategies shall be comprised of Global Investment Grade, High Yield, Global Bank Loans, and Emerging Market Debt segments.</w:t>
      </w:r>
      <w:bookmarkEnd w:id="1"/>
      <w:r w:rsidR="00807472" w:rsidRPr="00B52E14">
        <w:rPr>
          <w:szCs w:val="24"/>
        </w:rPr>
        <w:t xml:space="preserve"> </w:t>
      </w:r>
    </w:p>
    <w:p w14:paraId="3B979ADA" w14:textId="77777777" w:rsidR="00E27DDB" w:rsidRPr="00B52E14" w:rsidRDefault="00E27DDB" w:rsidP="00E27DDB">
      <w:pPr>
        <w:jc w:val="both"/>
        <w:rPr>
          <w:szCs w:val="24"/>
        </w:rPr>
      </w:pPr>
    </w:p>
    <w:p w14:paraId="421C6580" w14:textId="77777777" w:rsidR="00E27DDB" w:rsidRPr="00B52E14" w:rsidRDefault="000C7CB4" w:rsidP="00E27DDB">
      <w:pPr>
        <w:jc w:val="both"/>
      </w:pPr>
      <w:r w:rsidRPr="00B52E14">
        <w:rPr>
          <w:b/>
          <w:szCs w:val="24"/>
        </w:rPr>
        <w:t>Qualified Women, Minority, or Disabled Owned Businesses are exempt from certain qualifying factors</w:t>
      </w:r>
      <w:r w:rsidR="00CC2BBB" w:rsidRPr="00B52E14">
        <w:rPr>
          <w:b/>
          <w:szCs w:val="24"/>
        </w:rPr>
        <w:t xml:space="preserve"> (see Appendix A)</w:t>
      </w:r>
      <w:r w:rsidRPr="00B52E14">
        <w:rPr>
          <w:b/>
          <w:szCs w:val="24"/>
        </w:rPr>
        <w:t>.</w:t>
      </w:r>
      <w:r w:rsidRPr="00B52E14">
        <w:rPr>
          <w:szCs w:val="24"/>
        </w:rPr>
        <w:t xml:space="preserve">  </w:t>
      </w:r>
      <w:r w:rsidR="00E27DDB" w:rsidRPr="00B52E14">
        <w:t>Please refer to Section III for additional minimum qualifications information</w:t>
      </w:r>
      <w:r w:rsidRPr="00B52E14">
        <w:t xml:space="preserve"> for all responding firms</w:t>
      </w:r>
      <w:r w:rsidR="00E27DDB" w:rsidRPr="00B52E14">
        <w:t xml:space="preserve">.  </w:t>
      </w:r>
    </w:p>
    <w:p w14:paraId="566EC434" w14:textId="77777777" w:rsidR="00E27DDB" w:rsidRPr="00B52E14" w:rsidRDefault="00E27DDB" w:rsidP="00A10227">
      <w:pPr>
        <w:jc w:val="both"/>
        <w:rPr>
          <w:highlight w:val="yellow"/>
        </w:rPr>
      </w:pPr>
    </w:p>
    <w:p w14:paraId="392AF6DC" w14:textId="77777777" w:rsidR="001007D0" w:rsidRDefault="001007D0" w:rsidP="00A10227">
      <w:pPr>
        <w:jc w:val="both"/>
      </w:pPr>
    </w:p>
    <w:p w14:paraId="6D0E536C" w14:textId="77777777" w:rsidR="001007D0" w:rsidRDefault="001007D0" w:rsidP="00A10227">
      <w:pPr>
        <w:jc w:val="both"/>
      </w:pPr>
    </w:p>
    <w:p w14:paraId="67F8F24C" w14:textId="77777777" w:rsidR="001007D0" w:rsidRDefault="001007D0" w:rsidP="00A10227">
      <w:pPr>
        <w:jc w:val="both"/>
      </w:pPr>
    </w:p>
    <w:p w14:paraId="0ADD2D21" w14:textId="77777777" w:rsidR="001007D0" w:rsidRDefault="001007D0" w:rsidP="00A10227">
      <w:pPr>
        <w:jc w:val="both"/>
      </w:pPr>
    </w:p>
    <w:p w14:paraId="7269DD86" w14:textId="5474408C" w:rsidR="00A10227" w:rsidRPr="008E1DB2" w:rsidRDefault="00A10227" w:rsidP="00A10227">
      <w:pPr>
        <w:jc w:val="both"/>
      </w:pPr>
      <w:r w:rsidRPr="008E1DB2">
        <w:t>SURS will consider the following in making its decision:</w:t>
      </w:r>
    </w:p>
    <w:p w14:paraId="62644754" w14:textId="77777777" w:rsidR="004674B5" w:rsidRPr="008E1DB2" w:rsidRDefault="004674B5" w:rsidP="004674B5">
      <w:pPr>
        <w:jc w:val="both"/>
      </w:pPr>
    </w:p>
    <w:p w14:paraId="3C113FDA" w14:textId="77777777" w:rsidR="002D6BBF" w:rsidRPr="008E1DB2" w:rsidRDefault="002D6BBF" w:rsidP="002D6BBF">
      <w:pPr>
        <w:pStyle w:val="ListParagraph"/>
        <w:numPr>
          <w:ilvl w:val="0"/>
          <w:numId w:val="7"/>
        </w:numPr>
        <w:jc w:val="both"/>
      </w:pPr>
      <w:r w:rsidRPr="008E1DB2">
        <w:t>Organization</w:t>
      </w:r>
    </w:p>
    <w:p w14:paraId="7CCB5BF8" w14:textId="77777777" w:rsidR="002D6BBF" w:rsidRPr="008E1DB2" w:rsidRDefault="002D6BBF" w:rsidP="002D6BBF">
      <w:pPr>
        <w:pStyle w:val="ListParagraph"/>
        <w:numPr>
          <w:ilvl w:val="0"/>
          <w:numId w:val="7"/>
        </w:numPr>
        <w:jc w:val="both"/>
      </w:pPr>
      <w:r w:rsidRPr="008E1DB2">
        <w:t>Resources</w:t>
      </w:r>
    </w:p>
    <w:p w14:paraId="209427C4" w14:textId="77777777" w:rsidR="002D6BBF" w:rsidRPr="008E1DB2" w:rsidRDefault="002D6BBF" w:rsidP="002D6BBF">
      <w:pPr>
        <w:pStyle w:val="ListParagraph"/>
        <w:numPr>
          <w:ilvl w:val="0"/>
          <w:numId w:val="7"/>
        </w:numPr>
        <w:jc w:val="both"/>
      </w:pPr>
      <w:r w:rsidRPr="008E1DB2">
        <w:t>Experience</w:t>
      </w:r>
    </w:p>
    <w:p w14:paraId="6EC6489E" w14:textId="77777777" w:rsidR="002D6BBF" w:rsidRPr="008E1DB2" w:rsidRDefault="002D6BBF" w:rsidP="002D6BBF">
      <w:pPr>
        <w:pStyle w:val="ListParagraph"/>
        <w:numPr>
          <w:ilvl w:val="0"/>
          <w:numId w:val="7"/>
        </w:numPr>
        <w:jc w:val="both"/>
      </w:pPr>
      <w:r w:rsidRPr="008E1DB2">
        <w:t>Investment Team</w:t>
      </w:r>
    </w:p>
    <w:p w14:paraId="47DCBB00" w14:textId="77777777" w:rsidR="002D6BBF" w:rsidRPr="008E1DB2" w:rsidRDefault="002D6BBF" w:rsidP="002D6BBF">
      <w:pPr>
        <w:pStyle w:val="ListParagraph"/>
        <w:numPr>
          <w:ilvl w:val="0"/>
          <w:numId w:val="7"/>
        </w:numPr>
        <w:jc w:val="both"/>
      </w:pPr>
      <w:r w:rsidRPr="008E1DB2">
        <w:t>Commitment to Diversity</w:t>
      </w:r>
    </w:p>
    <w:p w14:paraId="79FED486" w14:textId="77777777" w:rsidR="002D6BBF" w:rsidRPr="008E1DB2" w:rsidRDefault="002D6BBF" w:rsidP="002D6BBF">
      <w:pPr>
        <w:pStyle w:val="ListParagraph"/>
        <w:numPr>
          <w:ilvl w:val="0"/>
          <w:numId w:val="7"/>
        </w:numPr>
        <w:jc w:val="both"/>
      </w:pPr>
      <w:r w:rsidRPr="008E1DB2">
        <w:t>Performance</w:t>
      </w:r>
    </w:p>
    <w:p w14:paraId="402C1D9A" w14:textId="77777777" w:rsidR="002D6BBF" w:rsidRPr="008E1DB2" w:rsidRDefault="002D6BBF" w:rsidP="002D6BBF">
      <w:pPr>
        <w:pStyle w:val="ListParagraph"/>
        <w:numPr>
          <w:ilvl w:val="0"/>
          <w:numId w:val="7"/>
        </w:numPr>
        <w:jc w:val="both"/>
      </w:pPr>
      <w:r w:rsidRPr="008E1DB2">
        <w:t>Fees</w:t>
      </w:r>
    </w:p>
    <w:p w14:paraId="77787FC6" w14:textId="77777777" w:rsidR="002D6BBF" w:rsidRPr="008E1DB2" w:rsidRDefault="002D6BBF" w:rsidP="002D6BBF">
      <w:pPr>
        <w:pStyle w:val="ListParagraph"/>
        <w:numPr>
          <w:ilvl w:val="0"/>
          <w:numId w:val="7"/>
        </w:numPr>
        <w:jc w:val="both"/>
      </w:pPr>
      <w:r w:rsidRPr="008E1DB2">
        <w:t>Level of detail provided in the RFP response</w:t>
      </w:r>
    </w:p>
    <w:p w14:paraId="64CABF2C" w14:textId="77777777" w:rsidR="0087509A" w:rsidRPr="008E1DB2" w:rsidRDefault="0087509A" w:rsidP="00855FC8">
      <w:pPr>
        <w:jc w:val="both"/>
      </w:pPr>
    </w:p>
    <w:p w14:paraId="5114D8B8" w14:textId="77777777" w:rsidR="00F25937" w:rsidRPr="008E1DB2" w:rsidRDefault="00F25937" w:rsidP="00F25937">
      <w:pPr>
        <w:jc w:val="left"/>
        <w:rPr>
          <w:b/>
        </w:rPr>
      </w:pPr>
      <w:r w:rsidRPr="008E1DB2">
        <w:rPr>
          <w:b/>
        </w:rPr>
        <w:t>2. Issuing Officer, Contacts and Lobbying</w:t>
      </w:r>
    </w:p>
    <w:p w14:paraId="27CAED9A" w14:textId="77777777" w:rsidR="00F25937" w:rsidRPr="008E1DB2" w:rsidRDefault="00F25937" w:rsidP="00F25937">
      <w:pPr>
        <w:jc w:val="left"/>
        <w:rPr>
          <w:b/>
        </w:rPr>
      </w:pPr>
    </w:p>
    <w:p w14:paraId="2F09EFDC" w14:textId="77777777" w:rsidR="00F25937" w:rsidRPr="008E1DB2" w:rsidRDefault="00F25937" w:rsidP="00A32395">
      <w:pPr>
        <w:jc w:val="both"/>
      </w:pPr>
      <w:r w:rsidRPr="008E1DB2">
        <w:t>SURS i</w:t>
      </w:r>
      <w:r w:rsidR="00AF1538" w:rsidRPr="008E1DB2">
        <w:t>s issuing this RFP. The Procurement Officers and the SURS designated consultant</w:t>
      </w:r>
      <w:r w:rsidR="00C2462F" w:rsidRPr="008E1DB2">
        <w:t xml:space="preserve"> </w:t>
      </w:r>
      <w:r w:rsidR="00AD23B1" w:rsidRPr="008E1DB2">
        <w:t xml:space="preserve">identified below </w:t>
      </w:r>
      <w:r w:rsidR="004B2A6C" w:rsidRPr="008E1DB2">
        <w:t xml:space="preserve">are </w:t>
      </w:r>
      <w:r w:rsidRPr="008E1DB2">
        <w:t>the sole point</w:t>
      </w:r>
      <w:r w:rsidR="00EE5712" w:rsidRPr="008E1DB2">
        <w:t>s</w:t>
      </w:r>
      <w:r w:rsidRPr="008E1DB2">
        <w:t xml:space="preserve"> of</w:t>
      </w:r>
      <w:r w:rsidR="00C05A26" w:rsidRPr="008E1DB2">
        <w:t xml:space="preserve"> contact regarding this RFP. Contact</w:t>
      </w:r>
      <w:r w:rsidRPr="008E1DB2">
        <w:t xml:space="preserve"> with any other employee of SURS, members of the Board of </w:t>
      </w:r>
      <w:r w:rsidR="00C05A26" w:rsidRPr="008E1DB2">
        <w:t>Trustees, or state officials is</w:t>
      </w:r>
      <w:r w:rsidRPr="008E1DB2">
        <w:t xml:space="preserve"> </w:t>
      </w:r>
      <w:r w:rsidR="00C05A26" w:rsidRPr="008E1DB2">
        <w:t xml:space="preserve">not </w:t>
      </w:r>
      <w:r w:rsidRPr="008E1DB2">
        <w:t>perm</w:t>
      </w:r>
      <w:r w:rsidR="00A32395" w:rsidRPr="008E1DB2">
        <w:t>itted with respect to this RFP.</w:t>
      </w:r>
      <w:r w:rsidR="00635BE1" w:rsidRPr="008E1DB2">
        <w:t xml:space="preserve"> </w:t>
      </w:r>
      <w:r w:rsidRPr="008E1DB2">
        <w:t xml:space="preserve">The prohibition includes, but is not limited to, any lobbying efforts directed at state legislators or any state officer or employee who might reasonably be considered to have influence over the process and final outcome. </w:t>
      </w:r>
    </w:p>
    <w:p w14:paraId="2B438644" w14:textId="77777777" w:rsidR="00AF5E60" w:rsidRPr="008E1DB2" w:rsidRDefault="00AF5E60" w:rsidP="00F25937">
      <w:pPr>
        <w:jc w:val="left"/>
      </w:pPr>
    </w:p>
    <w:p w14:paraId="6FB68D57" w14:textId="77777777" w:rsidR="00B65F9C" w:rsidRPr="00B52E14" w:rsidRDefault="00B65F9C" w:rsidP="00F25937">
      <w:pPr>
        <w:jc w:val="left"/>
        <w:rPr>
          <w:highlight w:val="yellow"/>
        </w:rPr>
      </w:pPr>
    </w:p>
    <w:p w14:paraId="0267384F" w14:textId="77777777" w:rsidR="00B65F9C" w:rsidRPr="00B52E14" w:rsidRDefault="00B65F9C" w:rsidP="00F25937">
      <w:pPr>
        <w:jc w:val="left"/>
        <w:rPr>
          <w:highlight w:val="yellow"/>
        </w:rPr>
      </w:pPr>
    </w:p>
    <w:p w14:paraId="5882B325" w14:textId="7A984546" w:rsidR="00F25937" w:rsidRPr="008E1DB2" w:rsidRDefault="00F25937" w:rsidP="00F25937">
      <w:pPr>
        <w:jc w:val="left"/>
      </w:pPr>
      <w:r w:rsidRPr="008E1DB2">
        <w:t xml:space="preserve">The </w:t>
      </w:r>
      <w:r w:rsidR="00AF1538" w:rsidRPr="008E1DB2">
        <w:t>Procurement</w:t>
      </w:r>
      <w:r w:rsidRPr="008E1DB2">
        <w:t xml:space="preserve"> Officer</w:t>
      </w:r>
      <w:r w:rsidR="00EE5712" w:rsidRPr="008E1DB2">
        <w:t xml:space="preserve"> </w:t>
      </w:r>
      <w:r w:rsidR="005127B5" w:rsidRPr="008E1DB2">
        <w:t>and Consultant</w:t>
      </w:r>
      <w:r w:rsidR="002512CF" w:rsidRPr="008E1DB2">
        <w:t>s</w:t>
      </w:r>
      <w:r w:rsidR="005127B5" w:rsidRPr="008E1DB2">
        <w:t xml:space="preserve"> </w:t>
      </w:r>
      <w:r w:rsidR="00EE5712" w:rsidRPr="008E1DB2">
        <w:t>for this RFP are</w:t>
      </w:r>
      <w:r w:rsidRPr="008E1DB2">
        <w:t>:</w:t>
      </w:r>
    </w:p>
    <w:p w14:paraId="291F877B" w14:textId="77777777" w:rsidR="00693DA3" w:rsidRPr="00B52E14" w:rsidRDefault="00693DA3" w:rsidP="00693DA3">
      <w:pPr>
        <w:jc w:val="left"/>
        <w:rPr>
          <w:highlight w:val="yellow"/>
        </w:rPr>
      </w:pPr>
    </w:p>
    <w:p w14:paraId="399D48E2" w14:textId="3A5DDAC3" w:rsidR="00693DA3" w:rsidRPr="0053403C" w:rsidRDefault="0081169B" w:rsidP="00693DA3">
      <w:pPr>
        <w:jc w:val="left"/>
      </w:pPr>
      <w:r w:rsidRPr="0053403C">
        <w:t>SURS Procurement Officer</w:t>
      </w:r>
      <w:r w:rsidR="00F22A11" w:rsidRPr="0053403C">
        <w:tab/>
      </w:r>
      <w:r w:rsidR="00F22A11" w:rsidRPr="0053403C">
        <w:tab/>
      </w:r>
      <w:r w:rsidR="004674B5" w:rsidRPr="0053403C">
        <w:tab/>
      </w:r>
      <w:r w:rsidR="00045891" w:rsidRPr="0053403C">
        <w:tab/>
      </w:r>
      <w:r w:rsidR="00B65F9C" w:rsidRPr="0053403C">
        <w:t>John Harris and</w:t>
      </w:r>
      <w:r w:rsidR="002512CF" w:rsidRPr="0053403C">
        <w:t xml:space="preserve"> David </w:t>
      </w:r>
      <w:r w:rsidR="00730101" w:rsidRPr="0053403C">
        <w:t>Sancewich</w:t>
      </w:r>
    </w:p>
    <w:p w14:paraId="6201DFB7" w14:textId="7078213D" w:rsidR="00693DA3" w:rsidRPr="0053403C" w:rsidRDefault="00AD23B1" w:rsidP="00693DA3">
      <w:pPr>
        <w:jc w:val="left"/>
      </w:pPr>
      <w:r w:rsidRPr="0053403C">
        <w:t>SURS</w:t>
      </w:r>
      <w:r w:rsidR="00EE5712" w:rsidRPr="0053403C">
        <w:tab/>
      </w:r>
      <w:r w:rsidR="00EE5712" w:rsidRPr="0053403C">
        <w:tab/>
      </w:r>
      <w:r w:rsidR="00EE5712" w:rsidRPr="0053403C">
        <w:tab/>
      </w:r>
      <w:r w:rsidR="00EE5712" w:rsidRPr="0053403C">
        <w:tab/>
      </w:r>
      <w:r w:rsidR="004674B5" w:rsidRPr="0053403C">
        <w:tab/>
      </w:r>
      <w:r w:rsidR="0081169B" w:rsidRPr="0053403C">
        <w:tab/>
      </w:r>
      <w:r w:rsidR="0081169B" w:rsidRPr="0053403C">
        <w:tab/>
      </w:r>
      <w:r w:rsidR="000A01D7" w:rsidRPr="0053403C">
        <w:t>Meketa</w:t>
      </w:r>
    </w:p>
    <w:p w14:paraId="3675D5A7" w14:textId="31B07FC0" w:rsidR="002512CF" w:rsidRPr="0053403C" w:rsidRDefault="001007D0" w:rsidP="000A01D7">
      <w:pPr>
        <w:jc w:val="left"/>
      </w:pPr>
      <w:hyperlink r:id="rId11" w:history="1">
        <w:r w:rsidR="0081169B" w:rsidRPr="0053403C">
          <w:rPr>
            <w:rStyle w:val="Hyperlink"/>
          </w:rPr>
          <w:t>Procurement</w:t>
        </w:r>
        <w:r w:rsidR="0081169B" w:rsidRPr="00003321">
          <w:rPr>
            <w:rStyle w:val="Hyperlink"/>
            <w:b/>
            <w:bCs/>
          </w:rPr>
          <w:t>_</w:t>
        </w:r>
        <w:r w:rsidR="0081169B" w:rsidRPr="0053403C">
          <w:rPr>
            <w:rStyle w:val="Hyperlink"/>
          </w:rPr>
          <w:t>Officer@surs.org</w:t>
        </w:r>
      </w:hyperlink>
      <w:r w:rsidR="00EE5712" w:rsidRPr="0053403C">
        <w:rPr>
          <w:rStyle w:val="Hyperlink"/>
          <w:u w:val="none"/>
        </w:rPr>
        <w:tab/>
      </w:r>
      <w:r w:rsidR="00EE5712" w:rsidRPr="0053403C">
        <w:rPr>
          <w:rStyle w:val="Hyperlink"/>
          <w:u w:val="none"/>
        </w:rPr>
        <w:tab/>
      </w:r>
      <w:r w:rsidR="004674B5" w:rsidRPr="0053403C">
        <w:rPr>
          <w:rStyle w:val="Hyperlink"/>
          <w:u w:val="none"/>
        </w:rPr>
        <w:tab/>
      </w:r>
      <w:r w:rsidR="0081169B" w:rsidRPr="0053403C">
        <w:rPr>
          <w:rStyle w:val="Hyperlink"/>
          <w:u w:val="none"/>
        </w:rPr>
        <w:tab/>
      </w:r>
      <w:hyperlink r:id="rId12" w:history="1">
        <w:r w:rsidR="002512CF" w:rsidRPr="0053403C">
          <w:rPr>
            <w:rStyle w:val="Hyperlink"/>
          </w:rPr>
          <w:t>jharris@meketagroup.com</w:t>
        </w:r>
      </w:hyperlink>
    </w:p>
    <w:p w14:paraId="7CF0529B" w14:textId="3D9E4D99" w:rsidR="00F25937" w:rsidRPr="0053403C" w:rsidRDefault="002512CF" w:rsidP="00F25937">
      <w:pPr>
        <w:jc w:val="left"/>
      </w:pPr>
      <w:r w:rsidRPr="0053403C">
        <w:tab/>
      </w:r>
      <w:r w:rsidRPr="0053403C">
        <w:tab/>
      </w:r>
      <w:r w:rsidRPr="0053403C">
        <w:tab/>
      </w:r>
      <w:r w:rsidRPr="0053403C">
        <w:tab/>
      </w:r>
      <w:r w:rsidRPr="0053403C">
        <w:tab/>
      </w:r>
      <w:r w:rsidRPr="0053403C">
        <w:tab/>
        <w:t xml:space="preserve">             </w:t>
      </w:r>
      <w:hyperlink r:id="rId13" w:history="1">
        <w:r w:rsidR="00730101" w:rsidRPr="0053403C">
          <w:rPr>
            <w:rStyle w:val="Hyperlink"/>
          </w:rPr>
          <w:t>dsancewich@meketagroup.com</w:t>
        </w:r>
      </w:hyperlink>
    </w:p>
    <w:p w14:paraId="4272F467" w14:textId="77777777" w:rsidR="002512CF" w:rsidRPr="0053403C" w:rsidRDefault="002512CF" w:rsidP="00F25937">
      <w:pPr>
        <w:jc w:val="left"/>
        <w:rPr>
          <w:color w:val="0000FF" w:themeColor="hyperlink"/>
        </w:rPr>
      </w:pPr>
    </w:p>
    <w:p w14:paraId="0CE8F2DA" w14:textId="77777777" w:rsidR="00F25937" w:rsidRPr="008E1DB2" w:rsidRDefault="00F25937" w:rsidP="00F25937">
      <w:pPr>
        <w:jc w:val="left"/>
      </w:pPr>
      <w:r w:rsidRPr="008E1DB2">
        <w:t xml:space="preserve">Additional information regarding Submission of responses to this RFP is set forth in Section </w:t>
      </w:r>
      <w:r w:rsidR="00456151" w:rsidRPr="008E1DB2">
        <w:t>I</w:t>
      </w:r>
      <w:r w:rsidRPr="008E1DB2">
        <w:t>V below under the heading “Submission of Proposal and Selection Process”</w:t>
      </w:r>
    </w:p>
    <w:p w14:paraId="5FB95316" w14:textId="77777777" w:rsidR="00670786" w:rsidRPr="008E1DB2" w:rsidRDefault="00670786" w:rsidP="00F25937">
      <w:pPr>
        <w:jc w:val="left"/>
        <w:rPr>
          <w:b/>
        </w:rPr>
      </w:pPr>
    </w:p>
    <w:p w14:paraId="35C59325" w14:textId="322A66FD" w:rsidR="00F22A11" w:rsidRPr="008E1DB2" w:rsidRDefault="007C6C60" w:rsidP="00807472">
      <w:pPr>
        <w:jc w:val="left"/>
        <w:rPr>
          <w:b/>
        </w:rPr>
      </w:pPr>
      <w:r w:rsidRPr="008E1DB2">
        <w:rPr>
          <w:b/>
        </w:rPr>
        <w:t>SECTION III: SCOPE,</w:t>
      </w:r>
      <w:r w:rsidR="00F25937" w:rsidRPr="008E1DB2">
        <w:rPr>
          <w:b/>
        </w:rPr>
        <w:t xml:space="preserve"> QUALIFICATIONS AND INFORMATION REQUESTED</w:t>
      </w:r>
      <w:r w:rsidR="00F22A11" w:rsidRPr="008E1DB2">
        <w:rPr>
          <w:bCs/>
        </w:rPr>
        <w:t xml:space="preserve"> </w:t>
      </w:r>
    </w:p>
    <w:p w14:paraId="77AAC768" w14:textId="77777777" w:rsidR="00573AAF" w:rsidRPr="008E1DB2" w:rsidRDefault="00573AAF" w:rsidP="00440A3F">
      <w:pPr>
        <w:pStyle w:val="ListParagraph"/>
        <w:ind w:left="0"/>
        <w:jc w:val="left"/>
        <w:rPr>
          <w:b/>
        </w:rPr>
      </w:pPr>
    </w:p>
    <w:p w14:paraId="6DB0E03B" w14:textId="150B7ED5" w:rsidR="00F25937" w:rsidRPr="008E1DB2" w:rsidRDefault="006409EC" w:rsidP="00F25937">
      <w:pPr>
        <w:jc w:val="left"/>
        <w:rPr>
          <w:b/>
        </w:rPr>
      </w:pPr>
      <w:r w:rsidRPr="008E1DB2">
        <w:rPr>
          <w:b/>
        </w:rPr>
        <w:t xml:space="preserve">Required </w:t>
      </w:r>
      <w:r w:rsidR="00F25937" w:rsidRPr="008E1DB2">
        <w:rPr>
          <w:b/>
        </w:rPr>
        <w:t>Minimum Qualifications</w:t>
      </w:r>
      <w:r w:rsidRPr="008E1DB2">
        <w:rPr>
          <w:b/>
        </w:rPr>
        <w:t xml:space="preserve"> (RMQs)</w:t>
      </w:r>
    </w:p>
    <w:p w14:paraId="35973696" w14:textId="77777777" w:rsidR="00F25937" w:rsidRPr="008E1DB2" w:rsidRDefault="00F25937" w:rsidP="00F25937">
      <w:pPr>
        <w:jc w:val="left"/>
        <w:rPr>
          <w:b/>
        </w:rPr>
      </w:pPr>
    </w:p>
    <w:p w14:paraId="0515FBC7" w14:textId="77777777" w:rsidR="00AF5E60" w:rsidRPr="008E1DB2" w:rsidRDefault="00AF5E60" w:rsidP="00AF5E60">
      <w:pPr>
        <w:jc w:val="both"/>
      </w:pPr>
      <w:r w:rsidRPr="008E1DB2">
        <w:t xml:space="preserve">Failure to satisfy each of the minimum qualifications will result in the immediate rejection of the proposal. The responder must address each of the qualifications substantiating how the responder satisfies each of the minimum qualifications. The responses must contain sufficient information as prescribed to assure SURS of its accuracy. Failure to provide complete information will result in rejection of the proposal.  The Proposer must certify in writing on the Minimum Qualifications Certification (Appendix A) that it meets all of the minimum qualifications and must be signed by an individual who is authorized to bind the Proposer contractually. </w:t>
      </w:r>
    </w:p>
    <w:p w14:paraId="3768A842" w14:textId="77777777" w:rsidR="00401D13" w:rsidRPr="008E1DB2" w:rsidRDefault="00401D13" w:rsidP="00AF5E60">
      <w:pPr>
        <w:jc w:val="both"/>
      </w:pPr>
    </w:p>
    <w:p w14:paraId="450BB0D6" w14:textId="6DB07FBC" w:rsidR="00401D13" w:rsidRPr="008E1DB2" w:rsidRDefault="00401D13" w:rsidP="00401D13">
      <w:pPr>
        <w:autoSpaceDE w:val="0"/>
        <w:autoSpaceDN w:val="0"/>
        <w:adjustRightInd w:val="0"/>
        <w:jc w:val="both"/>
        <w:rPr>
          <w:szCs w:val="24"/>
        </w:rPr>
      </w:pPr>
      <w:r w:rsidRPr="008E1DB2">
        <w:rPr>
          <w:szCs w:val="24"/>
        </w:rPr>
        <w:t>1. The proposing firm</w:t>
      </w:r>
      <w:r w:rsidR="00807472" w:rsidRPr="008E1DB2">
        <w:rPr>
          <w:szCs w:val="24"/>
        </w:rPr>
        <w:t xml:space="preserve"> must have a </w:t>
      </w:r>
      <w:r w:rsidR="001C7FC4" w:rsidRPr="008E1DB2">
        <w:rPr>
          <w:szCs w:val="24"/>
        </w:rPr>
        <w:t>minimum firm-level asset</w:t>
      </w:r>
      <w:r w:rsidR="0004605E" w:rsidRPr="008E1DB2">
        <w:rPr>
          <w:szCs w:val="24"/>
        </w:rPr>
        <w:t>-under-management of $1 b</w:t>
      </w:r>
      <w:r w:rsidRPr="008E1DB2">
        <w:rPr>
          <w:szCs w:val="24"/>
        </w:rPr>
        <w:t xml:space="preserve">illion as of </w:t>
      </w:r>
      <w:r w:rsidR="003178B4">
        <w:rPr>
          <w:szCs w:val="24"/>
        </w:rPr>
        <w:t>12</w:t>
      </w:r>
      <w:r w:rsidR="0004605E" w:rsidRPr="008E1DB2">
        <w:rPr>
          <w:szCs w:val="24"/>
        </w:rPr>
        <w:t>/3</w:t>
      </w:r>
      <w:r w:rsidR="003178B4">
        <w:rPr>
          <w:szCs w:val="24"/>
        </w:rPr>
        <w:t>1</w:t>
      </w:r>
      <w:r w:rsidRPr="008E1DB2">
        <w:rPr>
          <w:szCs w:val="24"/>
        </w:rPr>
        <w:t>/201</w:t>
      </w:r>
      <w:r w:rsidR="0004605E" w:rsidRPr="008E1DB2">
        <w:rPr>
          <w:szCs w:val="24"/>
        </w:rPr>
        <w:t>9</w:t>
      </w:r>
      <w:r w:rsidRPr="008E1DB2">
        <w:rPr>
          <w:szCs w:val="24"/>
        </w:rPr>
        <w:t xml:space="preserve">.  </w:t>
      </w:r>
      <w:r w:rsidRPr="008E1DB2">
        <w:rPr>
          <w:b/>
          <w:szCs w:val="24"/>
        </w:rPr>
        <w:t>Qualified Women, Minority, or Disabled Owned Businesses are exempt and will be evaluated for further consideration at SURS’ discretion.</w:t>
      </w:r>
    </w:p>
    <w:p w14:paraId="6C8BD8CE" w14:textId="77777777" w:rsidR="00401D13" w:rsidRPr="008E1DB2" w:rsidRDefault="00401D13" w:rsidP="00401D13">
      <w:pPr>
        <w:jc w:val="both"/>
      </w:pPr>
    </w:p>
    <w:p w14:paraId="4C095996" w14:textId="77777777" w:rsidR="00401D13" w:rsidRPr="008E1DB2" w:rsidRDefault="00401D13" w:rsidP="00401D13">
      <w:pPr>
        <w:jc w:val="both"/>
      </w:pPr>
      <w:r w:rsidRPr="008E1DB2">
        <w:t>2. The responder must be willing to enter into a most favored nation clause certifying that the fees, costs, or pricing charged to SURS do not exceed the fees, costs, or pricing charged by the responder to any of its clients for the same or similar level of services.</w:t>
      </w:r>
    </w:p>
    <w:p w14:paraId="1DBEA7FC" w14:textId="77777777" w:rsidR="00401D13" w:rsidRPr="008E1DB2" w:rsidRDefault="00401D13" w:rsidP="00401D13">
      <w:pPr>
        <w:jc w:val="both"/>
      </w:pPr>
    </w:p>
    <w:p w14:paraId="30E24E9D" w14:textId="6801B05B" w:rsidR="00401D13" w:rsidRPr="008E1DB2" w:rsidRDefault="00401D13" w:rsidP="00401D13">
      <w:pPr>
        <w:autoSpaceDE w:val="0"/>
        <w:autoSpaceDN w:val="0"/>
        <w:adjustRightInd w:val="0"/>
        <w:jc w:val="both"/>
        <w:rPr>
          <w:szCs w:val="24"/>
        </w:rPr>
      </w:pPr>
      <w:r w:rsidRPr="008E1DB2">
        <w:rPr>
          <w:szCs w:val="24"/>
        </w:rPr>
        <w:t xml:space="preserve">3. Proposing firm must be </w:t>
      </w:r>
      <w:r w:rsidR="001F1A73" w:rsidRPr="008E1DB2">
        <w:rPr>
          <w:szCs w:val="24"/>
        </w:rPr>
        <w:t xml:space="preserve">either a) </w:t>
      </w:r>
      <w:r w:rsidRPr="008E1DB2">
        <w:rPr>
          <w:bCs/>
          <w:szCs w:val="24"/>
        </w:rPr>
        <w:t>registered as an investment adviser under the Investment Advisers Act of 1940 or</w:t>
      </w:r>
      <w:r w:rsidR="001F1A73" w:rsidRPr="008E1DB2">
        <w:rPr>
          <w:bCs/>
          <w:szCs w:val="24"/>
        </w:rPr>
        <w:t xml:space="preserve"> b)</w:t>
      </w:r>
      <w:r w:rsidRPr="008E1DB2">
        <w:rPr>
          <w:bCs/>
          <w:szCs w:val="24"/>
        </w:rPr>
        <w:t xml:space="preserve"> </w:t>
      </w:r>
      <w:r w:rsidR="001F1A73" w:rsidRPr="008E1DB2">
        <w:t xml:space="preserve">a “bank” as defined in the Investment Advisers Act of 1940.  If not, the firm must </w:t>
      </w:r>
      <w:r w:rsidR="00BB6A72" w:rsidRPr="008E1DB2">
        <w:rPr>
          <w:bCs/>
          <w:szCs w:val="24"/>
        </w:rPr>
        <w:t xml:space="preserve">factually explain how and why they claim to </w:t>
      </w:r>
      <w:r w:rsidRPr="008E1DB2">
        <w:rPr>
          <w:bCs/>
          <w:szCs w:val="24"/>
        </w:rPr>
        <w:t>be exempt from registration</w:t>
      </w:r>
      <w:r w:rsidR="00BB6A72" w:rsidRPr="008E1DB2">
        <w:rPr>
          <w:bCs/>
          <w:szCs w:val="24"/>
        </w:rPr>
        <w:t xml:space="preserve">.  </w:t>
      </w:r>
      <w:r w:rsidRPr="008E1DB2">
        <w:rPr>
          <w:bCs/>
          <w:szCs w:val="24"/>
        </w:rPr>
        <w:t xml:space="preserve"> The firm will promptly advise SURS if it, at any time, is not so registered.  </w:t>
      </w:r>
      <w:r w:rsidRPr="008E1DB2">
        <w:rPr>
          <w:szCs w:val="24"/>
        </w:rPr>
        <w:t>The firm must submit its full Form ADV (Parts I and II)</w:t>
      </w:r>
      <w:r w:rsidR="00BB6A72" w:rsidRPr="008E1DB2">
        <w:rPr>
          <w:szCs w:val="24"/>
        </w:rPr>
        <w:t xml:space="preserve"> and complete the required certifications contained in Appendix A.</w:t>
      </w:r>
    </w:p>
    <w:p w14:paraId="74EE9B73" w14:textId="77777777" w:rsidR="00401D13" w:rsidRPr="008E1DB2" w:rsidRDefault="00401D13" w:rsidP="00401D13">
      <w:pPr>
        <w:autoSpaceDE w:val="0"/>
        <w:autoSpaceDN w:val="0"/>
        <w:adjustRightInd w:val="0"/>
        <w:jc w:val="both"/>
        <w:rPr>
          <w:szCs w:val="24"/>
        </w:rPr>
      </w:pPr>
    </w:p>
    <w:p w14:paraId="00CE7062" w14:textId="1B8A98F1" w:rsidR="00401D13" w:rsidRPr="008E1DB2" w:rsidRDefault="008E1DB2" w:rsidP="00401D13">
      <w:pPr>
        <w:autoSpaceDE w:val="0"/>
        <w:autoSpaceDN w:val="0"/>
        <w:adjustRightInd w:val="0"/>
        <w:jc w:val="both"/>
        <w:rPr>
          <w:szCs w:val="24"/>
        </w:rPr>
      </w:pPr>
      <w:r w:rsidRPr="008E1DB2">
        <w:rPr>
          <w:szCs w:val="24"/>
        </w:rPr>
        <w:t>4</w:t>
      </w:r>
      <w:r w:rsidR="00401D13" w:rsidRPr="008E1DB2">
        <w:rPr>
          <w:szCs w:val="24"/>
        </w:rPr>
        <w:t>. Responder and its proposed team must have all authorizations, permits, licenses and certifications required by federal and state laws and regulations to perform the services specified in this RFP at the time responder submits a response to the RFP.  Responder’s audited financial statements must be made available for review.</w:t>
      </w:r>
    </w:p>
    <w:p w14:paraId="0ABA1EC5" w14:textId="77777777" w:rsidR="00401D13" w:rsidRPr="008E1DB2" w:rsidRDefault="00401D13" w:rsidP="00401D13">
      <w:pPr>
        <w:autoSpaceDE w:val="0"/>
        <w:autoSpaceDN w:val="0"/>
        <w:adjustRightInd w:val="0"/>
        <w:jc w:val="both"/>
        <w:rPr>
          <w:szCs w:val="24"/>
        </w:rPr>
      </w:pPr>
    </w:p>
    <w:p w14:paraId="213B23C4" w14:textId="1959CF5C" w:rsidR="00401D13" w:rsidRPr="008E1DB2" w:rsidRDefault="008E1DB2" w:rsidP="00401D13">
      <w:pPr>
        <w:autoSpaceDE w:val="0"/>
        <w:autoSpaceDN w:val="0"/>
        <w:adjustRightInd w:val="0"/>
        <w:jc w:val="both"/>
        <w:rPr>
          <w:szCs w:val="24"/>
        </w:rPr>
      </w:pPr>
      <w:r w:rsidRPr="008E1DB2">
        <w:rPr>
          <w:szCs w:val="24"/>
        </w:rPr>
        <w:t>5</w:t>
      </w:r>
      <w:r w:rsidR="00401D13" w:rsidRPr="008E1DB2">
        <w:rPr>
          <w:szCs w:val="24"/>
        </w:rPr>
        <w:t xml:space="preserve">. Responder will comply with all legislation, applicable State fiduciary, ethics, and diversity laws, including any additional disclosure requirements. </w:t>
      </w:r>
    </w:p>
    <w:p w14:paraId="74D7DE05" w14:textId="77777777" w:rsidR="006409EC" w:rsidRPr="008E1DB2" w:rsidRDefault="006409EC" w:rsidP="00045891">
      <w:pPr>
        <w:autoSpaceDE w:val="0"/>
        <w:autoSpaceDN w:val="0"/>
        <w:adjustRightInd w:val="0"/>
        <w:ind w:left="720"/>
        <w:jc w:val="both"/>
        <w:rPr>
          <w:szCs w:val="24"/>
        </w:rPr>
      </w:pPr>
    </w:p>
    <w:p w14:paraId="3498C9F9" w14:textId="5C7EB3D3" w:rsidR="001657E7" w:rsidRPr="00B52E14" w:rsidRDefault="001657E7" w:rsidP="00401D13">
      <w:pPr>
        <w:autoSpaceDE w:val="0"/>
        <w:autoSpaceDN w:val="0"/>
        <w:adjustRightInd w:val="0"/>
        <w:jc w:val="both"/>
        <w:rPr>
          <w:highlight w:val="yellow"/>
        </w:rPr>
      </w:pPr>
    </w:p>
    <w:p w14:paraId="64891FA2" w14:textId="77777777" w:rsidR="0056341A" w:rsidRPr="008E1DB2" w:rsidRDefault="0056341A" w:rsidP="0056341A">
      <w:pPr>
        <w:autoSpaceDE w:val="0"/>
        <w:autoSpaceDN w:val="0"/>
        <w:adjustRightInd w:val="0"/>
        <w:jc w:val="both"/>
        <w:rPr>
          <w:szCs w:val="24"/>
        </w:rPr>
      </w:pPr>
      <w:r w:rsidRPr="008E1DB2">
        <w:rPr>
          <w:szCs w:val="24"/>
        </w:rPr>
        <w:t xml:space="preserve">SURS retains the sole right to decide whether any </w:t>
      </w:r>
      <w:r w:rsidR="00FF30B5" w:rsidRPr="008E1DB2">
        <w:rPr>
          <w:szCs w:val="24"/>
        </w:rPr>
        <w:t>r</w:t>
      </w:r>
      <w:r w:rsidR="00CC55AA" w:rsidRPr="008E1DB2">
        <w:rPr>
          <w:szCs w:val="24"/>
        </w:rPr>
        <w:t>esponder</w:t>
      </w:r>
      <w:r w:rsidRPr="008E1DB2">
        <w:rPr>
          <w:szCs w:val="24"/>
        </w:rPr>
        <w:t xml:space="preserve"> is qualified to bid, including determining whether any </w:t>
      </w:r>
      <w:r w:rsidR="00FF30B5" w:rsidRPr="008E1DB2">
        <w:rPr>
          <w:szCs w:val="24"/>
        </w:rPr>
        <w:t>r</w:t>
      </w:r>
      <w:r w:rsidR="00CC55AA" w:rsidRPr="008E1DB2">
        <w:rPr>
          <w:szCs w:val="24"/>
        </w:rPr>
        <w:t>esponder</w:t>
      </w:r>
      <w:r w:rsidRPr="008E1DB2">
        <w:rPr>
          <w:szCs w:val="24"/>
        </w:rPr>
        <w:t xml:space="preserve">’s qualifications are sufficiently comparable to satisfy all of the above minimum </w:t>
      </w:r>
      <w:r w:rsidR="0087509A" w:rsidRPr="008E1DB2">
        <w:rPr>
          <w:szCs w:val="24"/>
        </w:rPr>
        <w:t xml:space="preserve">and preferred </w:t>
      </w:r>
      <w:r w:rsidRPr="008E1DB2">
        <w:rPr>
          <w:szCs w:val="24"/>
        </w:rPr>
        <w:t>qualifications.</w:t>
      </w:r>
    </w:p>
    <w:p w14:paraId="2CEB03A5" w14:textId="483F0220" w:rsidR="00807472" w:rsidRDefault="00807472" w:rsidP="00F25937">
      <w:pPr>
        <w:jc w:val="both"/>
        <w:rPr>
          <w:b/>
        </w:rPr>
      </w:pPr>
    </w:p>
    <w:p w14:paraId="370DEDBC" w14:textId="77777777" w:rsidR="0053403C" w:rsidRPr="008E1DB2" w:rsidRDefault="0053403C" w:rsidP="00F25937">
      <w:pPr>
        <w:jc w:val="both"/>
        <w:rPr>
          <w:b/>
        </w:rPr>
      </w:pPr>
    </w:p>
    <w:p w14:paraId="4BAD5866" w14:textId="22A19C04" w:rsidR="00F25937" w:rsidRPr="008E1DB2" w:rsidRDefault="00E839FF" w:rsidP="00F25937">
      <w:pPr>
        <w:jc w:val="both"/>
        <w:rPr>
          <w:b/>
        </w:rPr>
      </w:pPr>
      <w:r w:rsidRPr="008E1DB2">
        <w:rPr>
          <w:b/>
        </w:rPr>
        <w:t>3</w:t>
      </w:r>
      <w:r w:rsidR="00F25937" w:rsidRPr="008E1DB2">
        <w:rPr>
          <w:b/>
        </w:rPr>
        <w:t>. Legislative Considerations</w:t>
      </w:r>
    </w:p>
    <w:p w14:paraId="54250DB5" w14:textId="77777777" w:rsidR="00F25937" w:rsidRPr="008E1DB2" w:rsidRDefault="00F25937" w:rsidP="00F25937">
      <w:pPr>
        <w:jc w:val="both"/>
        <w:rPr>
          <w:b/>
        </w:rPr>
      </w:pPr>
    </w:p>
    <w:p w14:paraId="2C8BABA0" w14:textId="77777777" w:rsidR="005D5D1F" w:rsidRPr="008E1DB2" w:rsidRDefault="005D5D1F" w:rsidP="005D5D1F">
      <w:pPr>
        <w:jc w:val="both"/>
      </w:pPr>
      <w:r w:rsidRPr="008E1DB2">
        <w:t xml:space="preserve">Effective January 1, 2016, </w:t>
      </w:r>
      <w:r w:rsidRPr="008E1DB2">
        <w:rPr>
          <w:b/>
        </w:rPr>
        <w:t>Section</w:t>
      </w:r>
      <w:r w:rsidR="00C05A26" w:rsidRPr="008E1DB2">
        <w:rPr>
          <w:b/>
        </w:rPr>
        <w:t>s</w:t>
      </w:r>
      <w:r w:rsidRPr="008E1DB2">
        <w:rPr>
          <w:b/>
        </w:rPr>
        <w:t xml:space="preserve"> </w:t>
      </w:r>
      <w:r w:rsidR="004F022C" w:rsidRPr="008E1DB2">
        <w:rPr>
          <w:b/>
        </w:rPr>
        <w:t>5/</w:t>
      </w:r>
      <w:r w:rsidRPr="008E1DB2">
        <w:rPr>
          <w:b/>
        </w:rPr>
        <w:t>1-</w:t>
      </w:r>
      <w:r w:rsidR="004F022C" w:rsidRPr="008E1DB2">
        <w:rPr>
          <w:b/>
        </w:rPr>
        <w:t>110.6, 5/1-110.15, 5/1-</w:t>
      </w:r>
      <w:r w:rsidRPr="008E1DB2">
        <w:rPr>
          <w:b/>
        </w:rPr>
        <w:t xml:space="preserve">110.16 of the Illinois </w:t>
      </w:r>
      <w:r w:rsidR="004F022C" w:rsidRPr="008E1DB2">
        <w:rPr>
          <w:b/>
        </w:rPr>
        <w:t>Pension Code (40 ILCS 5/1</w:t>
      </w:r>
      <w:r w:rsidRPr="008E1DB2">
        <w:rPr>
          <w:b/>
        </w:rPr>
        <w:t>)</w:t>
      </w:r>
      <w:r w:rsidRPr="008E1DB2">
        <w:t xml:space="preserve"> generally requires SURS to divest from direct holdings in “restricted companies” consisting of:</w:t>
      </w:r>
    </w:p>
    <w:p w14:paraId="0543EEEC" w14:textId="77777777" w:rsidR="005D5D1F" w:rsidRPr="008E1DB2" w:rsidRDefault="005D5D1F" w:rsidP="00573AAF">
      <w:pPr>
        <w:numPr>
          <w:ilvl w:val="0"/>
          <w:numId w:val="5"/>
        </w:numPr>
        <w:jc w:val="both"/>
      </w:pPr>
      <w:r w:rsidRPr="008E1DB2">
        <w:t>Certain companies that boycott Israel by engaging in actions that are politically motivated and are intended to penalize, inflict economic harm on, or otherwise limit commercial relations with the State of Israel or companies based in the State of Israel or in territories controlled by the State of Israel;</w:t>
      </w:r>
    </w:p>
    <w:p w14:paraId="1A318663" w14:textId="77777777" w:rsidR="005D5D1F" w:rsidRPr="008E1DB2" w:rsidRDefault="005D5D1F" w:rsidP="00573AAF">
      <w:pPr>
        <w:numPr>
          <w:ilvl w:val="0"/>
          <w:numId w:val="5"/>
        </w:numPr>
        <w:jc w:val="both"/>
      </w:pPr>
      <w:r w:rsidRPr="008E1DB2">
        <w:t>Certain companies that have business operations that involve contracts with or provision of supplies or services to the Government of Iran, companies which the Government of Iran has any direct or indirect equity share, consortiums or projects commissioned by the Government of Iran, or companies involved in consortiums or projects commissioned by the Government of Iran; and</w:t>
      </w:r>
    </w:p>
    <w:p w14:paraId="78FD55B5" w14:textId="77777777" w:rsidR="008332B6" w:rsidRPr="008E1DB2" w:rsidRDefault="005D5D1F" w:rsidP="008332B6">
      <w:pPr>
        <w:numPr>
          <w:ilvl w:val="0"/>
          <w:numId w:val="5"/>
        </w:numPr>
        <w:jc w:val="both"/>
      </w:pPr>
      <w:r w:rsidRPr="008E1DB2">
        <w:t>The government of Sudan and any of its agencies, companies under control of Sudan, companies established or organized in Sudan, companies identified or prosecuted by the Office of Foreign Assets in the U.S. Treasury Department as sponsoring terrorist activities in Sudan, or any publicly traded company whose principal place of business is in or conducts business in Sudan.</w:t>
      </w:r>
    </w:p>
    <w:p w14:paraId="29CE077A" w14:textId="77777777" w:rsidR="007831D5" w:rsidRPr="008E1DB2" w:rsidRDefault="008332B6" w:rsidP="008332B6">
      <w:pPr>
        <w:numPr>
          <w:ilvl w:val="0"/>
          <w:numId w:val="5"/>
        </w:numPr>
        <w:jc w:val="both"/>
      </w:pPr>
      <w:r w:rsidRPr="008E1DB2">
        <w:t>Certain companies that are considered “expatriated entities,” meaning a foreign incorporated entity which is treated as an inverted domestic corporation under subsection (b) of Section 835 of the Homeland Security Act of 2002, 6 U.S.C. 395(b), or any subsidiary of such an entity.</w:t>
      </w:r>
    </w:p>
    <w:p w14:paraId="60019D93" w14:textId="77777777" w:rsidR="005D5D1F" w:rsidRPr="008E1DB2" w:rsidRDefault="005D5D1F" w:rsidP="005D5D1F">
      <w:pPr>
        <w:jc w:val="both"/>
      </w:pPr>
    </w:p>
    <w:p w14:paraId="3906EA78" w14:textId="77777777" w:rsidR="005D5D1F" w:rsidRPr="008E1DB2" w:rsidRDefault="005D5D1F" w:rsidP="005D5D1F">
      <w:pPr>
        <w:jc w:val="both"/>
      </w:pPr>
      <w:r w:rsidRPr="008E1DB2">
        <w:t>Index funds, mutua</w:t>
      </w:r>
      <w:r w:rsidR="004F022C" w:rsidRPr="008E1DB2">
        <w:t>l funds (or funds in which the S</w:t>
      </w:r>
      <w:r w:rsidRPr="008E1DB2">
        <w:t>ystem own</w:t>
      </w:r>
      <w:r w:rsidR="004F022C" w:rsidRPr="008E1DB2">
        <w:t>s</w:t>
      </w:r>
      <w:r w:rsidRPr="008E1DB2">
        <w:t xml:space="preserve"> shares or interests together with other investors), and private market funds (which include private equity fund</w:t>
      </w:r>
      <w:r w:rsidR="004F022C" w:rsidRPr="008E1DB2">
        <w:t>s</w:t>
      </w:r>
      <w:r w:rsidRPr="008E1DB2">
        <w:t>, private equity funds of funds, venture capital funds, hedge funds, hedge fund of funds, real estate funds, or other investment vehicles that are not publicly traded) are not subject to the divestment provisions.  However, the Illinois Investment Policy Board will request that a private market fund manager consider removing restricted companies from the fund or create a similar actively managed fund having indirect holdings devoid of the companies.  If such a fund is created, SURS is required to replace all applicable investments with investments in the similar fund in an expedited timeframe consistent with prudent investing standards.</w:t>
      </w:r>
    </w:p>
    <w:p w14:paraId="595DBDCE" w14:textId="77777777" w:rsidR="005D5D1F" w:rsidRPr="008E1DB2" w:rsidRDefault="005D5D1F" w:rsidP="00F25937">
      <w:pPr>
        <w:jc w:val="both"/>
      </w:pPr>
    </w:p>
    <w:p w14:paraId="7C477B39" w14:textId="77777777" w:rsidR="00F25937" w:rsidRPr="008E1DB2" w:rsidRDefault="00F25937" w:rsidP="00F25937">
      <w:pPr>
        <w:jc w:val="both"/>
      </w:pPr>
      <w:r w:rsidRPr="008E1DB2">
        <w:t xml:space="preserve">The </w:t>
      </w:r>
      <w:r w:rsidRPr="008E1DB2">
        <w:rPr>
          <w:b/>
        </w:rPr>
        <w:t>Illinois Governmental Ethics Act</w:t>
      </w:r>
      <w:r w:rsidRPr="008E1DB2">
        <w:t>, 40 ILCS 420, provides guidelines for ethical practices concerning state and local pension plans.</w:t>
      </w:r>
      <w:r w:rsidR="005437C5" w:rsidRPr="008E1DB2">
        <w:t xml:space="preserve"> Respondent</w:t>
      </w:r>
      <w:r w:rsidRPr="008E1DB2">
        <w:t xml:space="preserve"> providers should be familiar with the provisions of this Act. The Act also encourages the Board to increase the racial, ethnic, and gender diversity of its fiduciaries, to the greatest extent feasible within the bounds of financial and fiduciary prudence. In furtherance of this Act, SURS will use its best efforts to increase the racial, ethnic, and gender diversity of its vendors/investment managers. </w:t>
      </w:r>
    </w:p>
    <w:p w14:paraId="5D4F2F6B" w14:textId="77777777" w:rsidR="00F25937" w:rsidRPr="008E1DB2" w:rsidRDefault="00F25937" w:rsidP="00F25937">
      <w:pPr>
        <w:jc w:val="both"/>
      </w:pPr>
    </w:p>
    <w:p w14:paraId="41DB037F" w14:textId="77777777" w:rsidR="007B63DC" w:rsidRPr="008E1DB2" w:rsidRDefault="007B63DC" w:rsidP="007B63DC">
      <w:pPr>
        <w:jc w:val="both"/>
      </w:pPr>
      <w:r w:rsidRPr="008E1DB2">
        <w:t xml:space="preserve">Sections of the </w:t>
      </w:r>
      <w:r w:rsidRPr="008E1DB2">
        <w:rPr>
          <w:b/>
        </w:rPr>
        <w:t>Illinois Procurement Code</w:t>
      </w:r>
      <w:r w:rsidRPr="008E1DB2">
        <w:rPr>
          <w:rStyle w:val="FootnoteReference"/>
          <w:b/>
        </w:rPr>
        <w:footnoteReference w:id="1"/>
      </w:r>
      <w:r w:rsidRPr="008E1DB2">
        <w:t xml:space="preserve"> concerning prohibitions of political contributions for vendors, 30 ILCS 500/50-37, may or may not apply to SURS investment managers or other service providers. However, each investment manager or service provider should be familiar with the provisions of this section and comply with this section if the investment manager or service provider deems it appropriate. </w:t>
      </w:r>
    </w:p>
    <w:p w14:paraId="0A2200FF" w14:textId="77777777" w:rsidR="007B63DC" w:rsidRPr="008E1DB2" w:rsidRDefault="007B63DC" w:rsidP="00F25937">
      <w:pPr>
        <w:jc w:val="both"/>
      </w:pPr>
    </w:p>
    <w:p w14:paraId="558CF2A7" w14:textId="77777777" w:rsidR="00F25937" w:rsidRPr="008E1DB2" w:rsidRDefault="00F25937" w:rsidP="00F25937">
      <w:pPr>
        <w:jc w:val="both"/>
      </w:pPr>
      <w:r w:rsidRPr="008E1DB2">
        <w:t>Provisions of Illinois law (40 ILCS 5/1-109.1) encourage certain public retirement funds and investments boards to increase:</w:t>
      </w:r>
    </w:p>
    <w:p w14:paraId="1B45DD77" w14:textId="77777777" w:rsidR="00F25937" w:rsidRPr="008E1DB2" w:rsidRDefault="00F25937" w:rsidP="00F25937">
      <w:pPr>
        <w:pStyle w:val="ListParagraph"/>
        <w:numPr>
          <w:ilvl w:val="0"/>
          <w:numId w:val="1"/>
        </w:numPr>
        <w:jc w:val="both"/>
      </w:pPr>
      <w:r w:rsidRPr="008E1DB2">
        <w:t>The utilization of emerging investment managers (with goals for specific asset classes for emerging managers that are minority-owned businesses, female-owned business, and businesses owned by a person with a disability;</w:t>
      </w:r>
    </w:p>
    <w:p w14:paraId="624DEE2D" w14:textId="77777777" w:rsidR="00F25937" w:rsidRPr="008E1DB2" w:rsidRDefault="00F25937" w:rsidP="00F25937">
      <w:pPr>
        <w:pStyle w:val="ListParagraph"/>
        <w:numPr>
          <w:ilvl w:val="0"/>
          <w:numId w:val="1"/>
        </w:numPr>
        <w:jc w:val="both"/>
      </w:pPr>
      <w:r w:rsidRPr="008E1DB2">
        <w:t>The racial, ethnic and gender diversity of its fiduciaries, including its consult</w:t>
      </w:r>
      <w:r w:rsidR="004F022C" w:rsidRPr="008E1DB2">
        <w:t>ant</w:t>
      </w:r>
      <w:r w:rsidRPr="008E1DB2">
        <w:t>s and senior staff;</w:t>
      </w:r>
    </w:p>
    <w:p w14:paraId="62B72D48" w14:textId="77777777" w:rsidR="00F25937" w:rsidRPr="008E1DB2" w:rsidRDefault="00F25937" w:rsidP="00F25937">
      <w:pPr>
        <w:pStyle w:val="ListParagraph"/>
        <w:numPr>
          <w:ilvl w:val="0"/>
          <w:numId w:val="1"/>
        </w:numPr>
        <w:jc w:val="both"/>
      </w:pPr>
      <w:r w:rsidRPr="008E1DB2">
        <w:t>The utilization of business owned by minorities, females, and persons with disabilities</w:t>
      </w:r>
      <w:r w:rsidR="00CA067B" w:rsidRPr="008E1DB2">
        <w:t xml:space="preserve"> for all contracts and services;</w:t>
      </w:r>
      <w:r w:rsidRPr="008E1DB2">
        <w:t xml:space="preserve"> </w:t>
      </w:r>
    </w:p>
    <w:p w14:paraId="28510371" w14:textId="77777777" w:rsidR="00F25937" w:rsidRPr="008E1DB2" w:rsidRDefault="00F25937" w:rsidP="00F25937">
      <w:pPr>
        <w:pStyle w:val="ListParagraph"/>
        <w:numPr>
          <w:ilvl w:val="0"/>
          <w:numId w:val="1"/>
        </w:numPr>
        <w:jc w:val="both"/>
      </w:pPr>
      <w:r w:rsidRPr="008E1DB2">
        <w:t xml:space="preserve">The utilization of minority broker-dealers; and </w:t>
      </w:r>
    </w:p>
    <w:p w14:paraId="46FDC930" w14:textId="77777777" w:rsidR="00F25937" w:rsidRPr="008E1DB2" w:rsidRDefault="00F25937" w:rsidP="00F25937">
      <w:pPr>
        <w:pStyle w:val="ListParagraph"/>
        <w:numPr>
          <w:ilvl w:val="0"/>
          <w:numId w:val="1"/>
        </w:numPr>
        <w:jc w:val="both"/>
      </w:pPr>
      <w:r w:rsidRPr="008E1DB2">
        <w:t>The utilization of minority investment funds</w:t>
      </w:r>
    </w:p>
    <w:p w14:paraId="111C06B0" w14:textId="77777777" w:rsidR="00F25937" w:rsidRPr="008E1DB2" w:rsidRDefault="00F25937" w:rsidP="00F25937">
      <w:pPr>
        <w:jc w:val="both"/>
      </w:pPr>
    </w:p>
    <w:p w14:paraId="7B395604" w14:textId="77777777" w:rsidR="00F25937" w:rsidRPr="008E1DB2" w:rsidRDefault="00F25937" w:rsidP="00F25937">
      <w:pPr>
        <w:jc w:val="both"/>
      </w:pPr>
      <w:r w:rsidRPr="008E1DB2">
        <w:rPr>
          <w:b/>
        </w:rPr>
        <w:t>Public Act 99-0462</w:t>
      </w:r>
      <w:r w:rsidRPr="008E1DB2">
        <w:t xml:space="preserve"> establishes the following aspirational goals for certain public retirement systems, pension funds, and investment boards, beginning January 1, 2006:</w:t>
      </w:r>
    </w:p>
    <w:p w14:paraId="61A5CD9D" w14:textId="77777777" w:rsidR="00F25937" w:rsidRPr="008E1DB2" w:rsidRDefault="00F25937" w:rsidP="00F25937">
      <w:pPr>
        <w:pStyle w:val="ListParagraph"/>
        <w:numPr>
          <w:ilvl w:val="0"/>
          <w:numId w:val="2"/>
        </w:numPr>
        <w:jc w:val="both"/>
      </w:pPr>
      <w:r w:rsidRPr="008E1DB2">
        <w:t>The utilization of emerging investment managers for not less than 20 percent of the total funds under management;</w:t>
      </w:r>
    </w:p>
    <w:p w14:paraId="30CDEB1C" w14:textId="77777777" w:rsidR="00F25937" w:rsidRPr="008E1DB2" w:rsidRDefault="00F25937" w:rsidP="00F25937">
      <w:pPr>
        <w:pStyle w:val="ListParagraph"/>
        <w:numPr>
          <w:ilvl w:val="0"/>
          <w:numId w:val="2"/>
        </w:numPr>
        <w:jc w:val="both"/>
      </w:pPr>
      <w:r w:rsidRPr="008E1DB2">
        <w:t>That not less than 20 percent of investment advisors are minorities, females, and persons with disabilities; and</w:t>
      </w:r>
    </w:p>
    <w:p w14:paraId="66C15A4D" w14:textId="77777777" w:rsidR="00F25937" w:rsidRPr="008E1DB2" w:rsidRDefault="00F25937" w:rsidP="00F25937">
      <w:pPr>
        <w:pStyle w:val="ListParagraph"/>
        <w:numPr>
          <w:ilvl w:val="0"/>
          <w:numId w:val="2"/>
        </w:numPr>
        <w:jc w:val="both"/>
      </w:pPr>
      <w:r w:rsidRPr="008E1DB2">
        <w:t xml:space="preserve">The utilization of businesses owned by minorities, females, and persons with disabilities for not less than 20 percent of contracts awarded for information technology services, accounting services, insurance brokers, architectural and engineering services, and legal services.  </w:t>
      </w:r>
    </w:p>
    <w:p w14:paraId="22B2209A" w14:textId="77777777" w:rsidR="00F25937" w:rsidRPr="008E1DB2" w:rsidRDefault="00F25937" w:rsidP="00F25937">
      <w:pPr>
        <w:jc w:val="both"/>
      </w:pPr>
    </w:p>
    <w:p w14:paraId="26998B9D" w14:textId="77777777" w:rsidR="00F25937" w:rsidRPr="008E1DB2" w:rsidRDefault="00F25937" w:rsidP="00F25937">
      <w:pPr>
        <w:jc w:val="both"/>
        <w:rPr>
          <w:b/>
        </w:rPr>
      </w:pPr>
      <w:r w:rsidRPr="008E1DB2">
        <w:rPr>
          <w:b/>
        </w:rPr>
        <w:t xml:space="preserve">For these reasons, the SURS Board of Trustees encourages individuals who are minorities, females, and persons with a disability, as well as firms owned by minorities, females, and persons with a disability to respond to this RFP. </w:t>
      </w:r>
    </w:p>
    <w:p w14:paraId="6B8DCD71" w14:textId="77777777" w:rsidR="00F25937" w:rsidRPr="008E1DB2" w:rsidRDefault="00F25937" w:rsidP="00F25937">
      <w:pPr>
        <w:jc w:val="both"/>
      </w:pPr>
    </w:p>
    <w:p w14:paraId="3A0F45DD" w14:textId="77777777" w:rsidR="00F25937" w:rsidRPr="008E1DB2" w:rsidRDefault="00E839FF" w:rsidP="00F25937">
      <w:pPr>
        <w:jc w:val="both"/>
        <w:rPr>
          <w:b/>
        </w:rPr>
      </w:pPr>
      <w:r w:rsidRPr="008E1DB2">
        <w:rPr>
          <w:b/>
        </w:rPr>
        <w:t>4</w:t>
      </w:r>
      <w:r w:rsidR="00F25937" w:rsidRPr="008E1DB2">
        <w:rPr>
          <w:b/>
        </w:rPr>
        <w:t xml:space="preserve">. Diversity </w:t>
      </w:r>
      <w:r w:rsidR="00EA71F8" w:rsidRPr="008E1DB2">
        <w:rPr>
          <w:b/>
        </w:rPr>
        <w:t>Profile</w:t>
      </w:r>
      <w:r w:rsidR="00F25937" w:rsidRPr="008E1DB2">
        <w:rPr>
          <w:b/>
        </w:rPr>
        <w:t xml:space="preserve"> </w:t>
      </w:r>
    </w:p>
    <w:p w14:paraId="76F7F2A5" w14:textId="77777777" w:rsidR="00F25937" w:rsidRPr="008E1DB2" w:rsidRDefault="00F25937" w:rsidP="00F25937">
      <w:pPr>
        <w:jc w:val="both"/>
        <w:rPr>
          <w:b/>
        </w:rPr>
      </w:pPr>
    </w:p>
    <w:p w14:paraId="21248919" w14:textId="77777777" w:rsidR="004073DF" w:rsidRPr="008E1DB2" w:rsidRDefault="004073DF" w:rsidP="004073DF">
      <w:pPr>
        <w:jc w:val="both"/>
      </w:pPr>
      <w:r w:rsidRPr="008E1DB2">
        <w:t>Effective January 1, 2015 Section 1-113.21 of the Illinois Pension Code prohibits certain public retirement systems, pension funds, and investment boards from awarding a contract, oral or written, for investment services, consulting services, or commitment to a private market fund, unless the investment advisor, consultant or private market fund first discloses:</w:t>
      </w:r>
    </w:p>
    <w:p w14:paraId="11AC3FF4" w14:textId="77777777" w:rsidR="004073DF" w:rsidRPr="008E1DB2" w:rsidRDefault="004073DF" w:rsidP="004073DF">
      <w:pPr>
        <w:pStyle w:val="ListParagraph"/>
        <w:numPr>
          <w:ilvl w:val="0"/>
          <w:numId w:val="3"/>
        </w:numPr>
        <w:jc w:val="both"/>
      </w:pPr>
      <w:r w:rsidRPr="008E1DB2">
        <w:t>The number and percentage of its investment and senior staff who are: i) a minority person, ii) a female, and iii) a person with a disability;</w:t>
      </w:r>
    </w:p>
    <w:p w14:paraId="181E2C24" w14:textId="77777777" w:rsidR="004073DF" w:rsidRPr="008E1DB2" w:rsidRDefault="004073DF" w:rsidP="004073DF">
      <w:pPr>
        <w:pStyle w:val="ListParagraph"/>
        <w:numPr>
          <w:ilvl w:val="0"/>
          <w:numId w:val="3"/>
        </w:numPr>
        <w:jc w:val="both"/>
      </w:pPr>
      <w:r w:rsidRPr="008E1DB2">
        <w:t>The number of contracts, oral or written, for investment services, consulting services, and professional and artistic services that the investment advisor, consultant, or private market fund has with i) a minority-owned business, ii) a female-owned business, or iii) a business owned by a person with a disability and;</w:t>
      </w:r>
    </w:p>
    <w:p w14:paraId="589012E7" w14:textId="77777777" w:rsidR="00F25937" w:rsidRPr="008E1DB2" w:rsidRDefault="004073DF" w:rsidP="001316FB">
      <w:pPr>
        <w:pStyle w:val="ListParagraph"/>
        <w:numPr>
          <w:ilvl w:val="0"/>
          <w:numId w:val="3"/>
        </w:numPr>
        <w:jc w:val="both"/>
      </w:pPr>
      <w:r w:rsidRPr="008E1DB2">
        <w:t>The number of contracts, oral or written, for investment services, consulting services, and professional and artistic services the investment advisor, consultant, or private market fund has with a business other than: i) a minority-owned business, ii) a female-owned business, or iii) a business owned by a person with a disability, if more than 50 percent of services performed pursuant to the contract are performed by i) a minority person, ii) a female, and iii) a person with a disability.</w:t>
      </w:r>
      <w:r w:rsidR="005A1774" w:rsidRPr="008E1DB2">
        <w:t xml:space="preserve"> </w:t>
      </w:r>
      <w:r w:rsidR="00F25937" w:rsidRPr="008E1DB2">
        <w:t xml:space="preserve"> </w:t>
      </w:r>
    </w:p>
    <w:p w14:paraId="2A32201B" w14:textId="77777777" w:rsidR="00F25937" w:rsidRPr="008E1DB2" w:rsidRDefault="00F25937" w:rsidP="00F25937">
      <w:pPr>
        <w:jc w:val="both"/>
      </w:pPr>
    </w:p>
    <w:p w14:paraId="60066CC5" w14:textId="77777777" w:rsidR="00F25937" w:rsidRPr="008E1DB2" w:rsidRDefault="00F25937" w:rsidP="00F25937">
      <w:pPr>
        <w:jc w:val="both"/>
      </w:pPr>
      <w:r w:rsidRPr="008E1DB2">
        <w:t>E</w:t>
      </w:r>
      <w:r w:rsidR="004F022C" w:rsidRPr="008E1DB2">
        <w:t xml:space="preserve">ach responder </w:t>
      </w:r>
      <w:r w:rsidR="009F0FDB" w:rsidRPr="008E1DB2">
        <w:t>must disclose this</w:t>
      </w:r>
      <w:r w:rsidR="001316FB" w:rsidRPr="008E1DB2">
        <w:t xml:space="preserve"> information in Appendix</w:t>
      </w:r>
      <w:r w:rsidR="00EE5712" w:rsidRPr="008E1DB2">
        <w:t xml:space="preserve"> B</w:t>
      </w:r>
      <w:r w:rsidRPr="008E1DB2">
        <w:t xml:space="preserve">. </w:t>
      </w:r>
      <w:r w:rsidR="0056341A" w:rsidRPr="008E1DB2">
        <w:rPr>
          <w:b/>
          <w:u w:val="single"/>
        </w:rPr>
        <w:t>Failure to completely fill out thi</w:t>
      </w:r>
      <w:r w:rsidR="004073DF" w:rsidRPr="008E1DB2">
        <w:rPr>
          <w:b/>
          <w:u w:val="single"/>
        </w:rPr>
        <w:t xml:space="preserve">s information </w:t>
      </w:r>
      <w:r w:rsidR="00C2462F" w:rsidRPr="008E1DB2">
        <w:rPr>
          <w:b/>
          <w:u w:val="single"/>
        </w:rPr>
        <w:t>may</w:t>
      </w:r>
      <w:r w:rsidR="0056341A" w:rsidRPr="008E1DB2">
        <w:rPr>
          <w:b/>
          <w:u w:val="single"/>
        </w:rPr>
        <w:t xml:space="preserve"> result in disqualification from consideration</w:t>
      </w:r>
      <w:r w:rsidR="0056341A" w:rsidRPr="008E1DB2">
        <w:t>.</w:t>
      </w:r>
      <w:r w:rsidR="005A1774" w:rsidRPr="008E1DB2">
        <w:t xml:space="preserve">  </w:t>
      </w:r>
      <w:r w:rsidR="005A1774" w:rsidRPr="008E1DB2">
        <w:rPr>
          <w:b/>
        </w:rPr>
        <w:t>If the information is not available, then please indicate “0” in the required fields</w:t>
      </w:r>
      <w:r w:rsidR="009571F7" w:rsidRPr="008E1DB2">
        <w:rPr>
          <w:b/>
        </w:rPr>
        <w:t xml:space="preserve">.  </w:t>
      </w:r>
      <w:r w:rsidR="004F022C" w:rsidRPr="008E1DB2">
        <w:rPr>
          <w:b/>
          <w:i/>
          <w:u w:val="single"/>
        </w:rPr>
        <w:t>DO NOT LEAVE ANY</w:t>
      </w:r>
      <w:r w:rsidR="009571F7" w:rsidRPr="008E1DB2">
        <w:rPr>
          <w:b/>
          <w:i/>
          <w:u w:val="single"/>
        </w:rPr>
        <w:t xml:space="preserve"> FIELDS BLANK</w:t>
      </w:r>
      <w:r w:rsidR="00843342" w:rsidRPr="008E1DB2">
        <w:rPr>
          <w:b/>
          <w:i/>
          <w:u w:val="single"/>
        </w:rPr>
        <w:t xml:space="preserve"> AND DO NOT ADD A QUALIFYING EXPLANATION TO YOUR NUMERIC RESPONSE.</w:t>
      </w:r>
    </w:p>
    <w:p w14:paraId="7187ADE9" w14:textId="77777777" w:rsidR="00F25937" w:rsidRPr="008E1DB2" w:rsidRDefault="00F25937" w:rsidP="00F25937">
      <w:pPr>
        <w:jc w:val="both"/>
        <w:rPr>
          <w:b/>
        </w:rPr>
      </w:pPr>
    </w:p>
    <w:p w14:paraId="7D27B682" w14:textId="77777777" w:rsidR="00E9147F" w:rsidRPr="008E1DB2" w:rsidRDefault="00E9147F" w:rsidP="00E9147F">
      <w:pPr>
        <w:jc w:val="both"/>
        <w:rPr>
          <w:b/>
        </w:rPr>
      </w:pPr>
      <w:r w:rsidRPr="008E1DB2">
        <w:rPr>
          <w:szCs w:val="24"/>
        </w:rPr>
        <w:t>Enumerated below are the specific items requested from respondent firms.</w:t>
      </w:r>
    </w:p>
    <w:p w14:paraId="77918499" w14:textId="77777777" w:rsidR="00E9147F" w:rsidRPr="00B52E14" w:rsidRDefault="00E9147F" w:rsidP="00E9147F">
      <w:pPr>
        <w:autoSpaceDE w:val="0"/>
        <w:autoSpaceDN w:val="0"/>
        <w:adjustRightInd w:val="0"/>
        <w:jc w:val="both"/>
        <w:rPr>
          <w:szCs w:val="24"/>
          <w:highlight w:val="yellow"/>
          <w:u w:val="single"/>
        </w:rPr>
      </w:pPr>
    </w:p>
    <w:p w14:paraId="2498C6AA" w14:textId="77777777" w:rsidR="00E9147F" w:rsidRPr="008E1DB2" w:rsidRDefault="00E9147F" w:rsidP="00E9147F">
      <w:pPr>
        <w:autoSpaceDE w:val="0"/>
        <w:autoSpaceDN w:val="0"/>
        <w:adjustRightInd w:val="0"/>
        <w:jc w:val="both"/>
        <w:rPr>
          <w:szCs w:val="24"/>
        </w:rPr>
      </w:pPr>
      <w:r w:rsidRPr="008E1DB2">
        <w:rPr>
          <w:szCs w:val="24"/>
        </w:rPr>
        <w:t xml:space="preserve">1. </w:t>
      </w:r>
      <w:r w:rsidR="005020E8" w:rsidRPr="008E1DB2">
        <w:rPr>
          <w:szCs w:val="24"/>
        </w:rPr>
        <w:t xml:space="preserve"> </w:t>
      </w:r>
      <w:r w:rsidRPr="008E1DB2">
        <w:rPr>
          <w:b/>
          <w:szCs w:val="24"/>
        </w:rPr>
        <w:t>Letter of Transmittal</w:t>
      </w:r>
      <w:r w:rsidRPr="008E1DB2">
        <w:rPr>
          <w:szCs w:val="24"/>
        </w:rPr>
        <w:t xml:space="preserve">:  A letter of transmittal must be submitted on the </w:t>
      </w:r>
      <w:r w:rsidR="00612770" w:rsidRPr="008E1DB2">
        <w:rPr>
          <w:szCs w:val="24"/>
        </w:rPr>
        <w:t>r</w:t>
      </w:r>
      <w:r w:rsidRPr="008E1DB2">
        <w:rPr>
          <w:szCs w:val="24"/>
        </w:rPr>
        <w:t xml:space="preserve">esponder’s official letterhead.  The letter must identify all documents provided collectively as a response to the RFP, and must be signed by an individual authorized to bind the </w:t>
      </w:r>
      <w:r w:rsidR="00612770" w:rsidRPr="008E1DB2">
        <w:rPr>
          <w:szCs w:val="24"/>
        </w:rPr>
        <w:t>r</w:t>
      </w:r>
      <w:r w:rsidR="00CC55AA" w:rsidRPr="008E1DB2">
        <w:rPr>
          <w:szCs w:val="24"/>
        </w:rPr>
        <w:t>esponder</w:t>
      </w:r>
      <w:r w:rsidRPr="008E1DB2">
        <w:rPr>
          <w:szCs w:val="24"/>
        </w:rPr>
        <w:t xml:space="preserve"> contractually.  An unsigned proposal will be rejected. The letter must also contain the following:</w:t>
      </w:r>
    </w:p>
    <w:p w14:paraId="140A1C96" w14:textId="77777777" w:rsidR="00E9147F" w:rsidRPr="008E1DB2" w:rsidRDefault="00E9147F" w:rsidP="00573AAF">
      <w:pPr>
        <w:pStyle w:val="ListParagraph"/>
        <w:numPr>
          <w:ilvl w:val="0"/>
          <w:numId w:val="6"/>
        </w:numPr>
        <w:autoSpaceDE w:val="0"/>
        <w:autoSpaceDN w:val="0"/>
        <w:adjustRightInd w:val="0"/>
        <w:jc w:val="both"/>
        <w:rPr>
          <w:szCs w:val="24"/>
        </w:rPr>
      </w:pPr>
      <w:r w:rsidRPr="008E1DB2">
        <w:rPr>
          <w:szCs w:val="24"/>
        </w:rPr>
        <w:t xml:space="preserve">Statement that the proposal is being made without fraud or collusion; that the </w:t>
      </w:r>
      <w:r w:rsidR="00612770" w:rsidRPr="008E1DB2">
        <w:rPr>
          <w:szCs w:val="24"/>
        </w:rPr>
        <w:t>r</w:t>
      </w:r>
      <w:r w:rsidR="00CC55AA" w:rsidRPr="008E1DB2">
        <w:rPr>
          <w:szCs w:val="24"/>
        </w:rPr>
        <w:t>esponder</w:t>
      </w:r>
      <w:r w:rsidRPr="008E1DB2">
        <w:rPr>
          <w:szCs w:val="24"/>
        </w:rPr>
        <w:t xml:space="preserve"> has not offered or received any finder’s fees, inducements or any other form of remuneration, monetary or non-monetary, from any individua</w:t>
      </w:r>
      <w:r w:rsidR="004F022C" w:rsidRPr="008E1DB2">
        <w:rPr>
          <w:szCs w:val="24"/>
        </w:rPr>
        <w:t>l or entity relating to the RFP;</w:t>
      </w:r>
    </w:p>
    <w:p w14:paraId="62F75C24" w14:textId="77777777" w:rsidR="00E9147F" w:rsidRPr="008E1DB2" w:rsidRDefault="00E9147F" w:rsidP="00573AAF">
      <w:pPr>
        <w:pStyle w:val="ListParagraph"/>
        <w:numPr>
          <w:ilvl w:val="0"/>
          <w:numId w:val="6"/>
        </w:numPr>
        <w:autoSpaceDE w:val="0"/>
        <w:autoSpaceDN w:val="0"/>
        <w:adjustRightInd w:val="0"/>
        <w:jc w:val="both"/>
        <w:rPr>
          <w:szCs w:val="24"/>
        </w:rPr>
      </w:pPr>
      <w:r w:rsidRPr="008E1DB2">
        <w:rPr>
          <w:szCs w:val="24"/>
        </w:rPr>
        <w:t>Statement that discloses any current business relationship or any current negotiations for prospective business with the Board or any SURS Board Members or SURS Staff</w:t>
      </w:r>
      <w:r w:rsidR="004F022C" w:rsidRPr="008E1DB2">
        <w:rPr>
          <w:szCs w:val="24"/>
        </w:rPr>
        <w:t>; and</w:t>
      </w:r>
    </w:p>
    <w:p w14:paraId="4696AD04" w14:textId="77777777" w:rsidR="003B1275" w:rsidRPr="008E1DB2" w:rsidRDefault="00E9147F" w:rsidP="00573AAF">
      <w:pPr>
        <w:pStyle w:val="ListParagraph"/>
        <w:numPr>
          <w:ilvl w:val="0"/>
          <w:numId w:val="6"/>
        </w:numPr>
        <w:autoSpaceDE w:val="0"/>
        <w:autoSpaceDN w:val="0"/>
        <w:adjustRightInd w:val="0"/>
        <w:jc w:val="both"/>
        <w:rPr>
          <w:szCs w:val="24"/>
        </w:rPr>
      </w:pPr>
      <w:r w:rsidRPr="008E1DB2">
        <w:t>Statement that the proposing firm has been in compliance with SURS Quiet Period Policy and</w:t>
      </w:r>
      <w:r w:rsidR="00CA067B" w:rsidRPr="008E1DB2">
        <w:t xml:space="preserve"> Ex-Parte Communications Policy</w:t>
      </w:r>
    </w:p>
    <w:p w14:paraId="1D78476D" w14:textId="77777777" w:rsidR="00E9147F" w:rsidRPr="008E1DB2" w:rsidRDefault="00E9147F" w:rsidP="00E9147F">
      <w:pPr>
        <w:autoSpaceDE w:val="0"/>
        <w:autoSpaceDN w:val="0"/>
        <w:ind w:left="1440"/>
        <w:jc w:val="both"/>
      </w:pPr>
    </w:p>
    <w:p w14:paraId="2A58D353" w14:textId="77777777" w:rsidR="00E9147F" w:rsidRPr="008E1DB2" w:rsidRDefault="00E9147F" w:rsidP="00E9147F">
      <w:pPr>
        <w:autoSpaceDE w:val="0"/>
        <w:autoSpaceDN w:val="0"/>
        <w:adjustRightInd w:val="0"/>
        <w:jc w:val="both"/>
        <w:rPr>
          <w:szCs w:val="24"/>
        </w:rPr>
      </w:pPr>
      <w:r w:rsidRPr="008E1DB2">
        <w:rPr>
          <w:szCs w:val="24"/>
        </w:rPr>
        <w:t>2.</w:t>
      </w:r>
      <w:r w:rsidR="005020E8" w:rsidRPr="008E1DB2">
        <w:rPr>
          <w:szCs w:val="24"/>
        </w:rPr>
        <w:t xml:space="preserve"> </w:t>
      </w:r>
      <w:r w:rsidR="00EA0923" w:rsidRPr="008E1DB2">
        <w:rPr>
          <w:szCs w:val="24"/>
        </w:rPr>
        <w:t xml:space="preserve"> </w:t>
      </w:r>
      <w:r w:rsidR="005020E8" w:rsidRPr="008E1DB2">
        <w:rPr>
          <w:szCs w:val="24"/>
        </w:rPr>
        <w:t xml:space="preserve"> </w:t>
      </w:r>
      <w:r w:rsidRPr="008E1DB2">
        <w:rPr>
          <w:b/>
          <w:szCs w:val="24"/>
        </w:rPr>
        <w:t>Minimum Qualification Certification</w:t>
      </w:r>
      <w:r w:rsidRPr="008E1DB2">
        <w:rPr>
          <w:szCs w:val="24"/>
        </w:rPr>
        <w:t xml:space="preserve">:  The </w:t>
      </w:r>
      <w:r w:rsidR="00612770" w:rsidRPr="008E1DB2">
        <w:rPr>
          <w:szCs w:val="24"/>
        </w:rPr>
        <w:t>r</w:t>
      </w:r>
      <w:r w:rsidRPr="008E1DB2">
        <w:rPr>
          <w:szCs w:val="24"/>
        </w:rPr>
        <w:t>esponder must complete the certification in Appendix A and provide all supporting documentation.</w:t>
      </w:r>
    </w:p>
    <w:p w14:paraId="2CAFEFDE" w14:textId="77777777" w:rsidR="00E9147F" w:rsidRPr="008E1DB2" w:rsidRDefault="00E9147F" w:rsidP="00E9147F">
      <w:pPr>
        <w:autoSpaceDE w:val="0"/>
        <w:autoSpaceDN w:val="0"/>
        <w:adjustRightInd w:val="0"/>
        <w:jc w:val="both"/>
        <w:rPr>
          <w:szCs w:val="24"/>
        </w:rPr>
      </w:pPr>
    </w:p>
    <w:p w14:paraId="7491F3E2" w14:textId="77777777" w:rsidR="005020E8" w:rsidRPr="008E1DB2" w:rsidRDefault="001907F0" w:rsidP="00C70BF4">
      <w:pPr>
        <w:autoSpaceDE w:val="0"/>
        <w:autoSpaceDN w:val="0"/>
        <w:adjustRightInd w:val="0"/>
        <w:jc w:val="both"/>
        <w:rPr>
          <w:szCs w:val="24"/>
        </w:rPr>
      </w:pPr>
      <w:r w:rsidRPr="008E1DB2">
        <w:rPr>
          <w:szCs w:val="24"/>
        </w:rPr>
        <w:t xml:space="preserve">3.  </w:t>
      </w:r>
      <w:r w:rsidR="00EA0923" w:rsidRPr="008E1DB2">
        <w:rPr>
          <w:szCs w:val="24"/>
        </w:rPr>
        <w:t xml:space="preserve"> </w:t>
      </w:r>
      <w:r w:rsidR="00E9147F" w:rsidRPr="008E1DB2">
        <w:rPr>
          <w:b/>
          <w:szCs w:val="24"/>
        </w:rPr>
        <w:t>Diversity Disclosures</w:t>
      </w:r>
      <w:r w:rsidR="00E9147F" w:rsidRPr="008E1DB2">
        <w:rPr>
          <w:szCs w:val="24"/>
        </w:rPr>
        <w:t xml:space="preserve"> </w:t>
      </w:r>
      <w:r w:rsidR="00E27028" w:rsidRPr="008E1DB2">
        <w:rPr>
          <w:szCs w:val="24"/>
        </w:rPr>
        <w:t>(</w:t>
      </w:r>
      <w:r w:rsidR="00E9147F" w:rsidRPr="008E1DB2">
        <w:rPr>
          <w:szCs w:val="24"/>
        </w:rPr>
        <w:t>per Illinois Pension Code Section 1-113.21</w:t>
      </w:r>
      <w:r w:rsidR="00E27028" w:rsidRPr="008E1DB2">
        <w:rPr>
          <w:szCs w:val="24"/>
        </w:rPr>
        <w:t>):</w:t>
      </w:r>
      <w:r w:rsidR="00E9147F" w:rsidRPr="008E1DB2">
        <w:rPr>
          <w:szCs w:val="24"/>
        </w:rPr>
        <w:t xml:space="preserve">  The </w:t>
      </w:r>
      <w:r w:rsidR="00612770" w:rsidRPr="008E1DB2">
        <w:rPr>
          <w:szCs w:val="24"/>
        </w:rPr>
        <w:t>r</w:t>
      </w:r>
      <w:r w:rsidR="00E27028" w:rsidRPr="008E1DB2">
        <w:rPr>
          <w:szCs w:val="24"/>
        </w:rPr>
        <w:t>esponder</w:t>
      </w:r>
      <w:r w:rsidR="00E9147F" w:rsidRPr="008E1DB2">
        <w:rPr>
          <w:szCs w:val="24"/>
        </w:rPr>
        <w:t xml:space="preserve"> must complete the required disclosures regarding staff and vendor diversity in the form</w:t>
      </w:r>
      <w:r w:rsidR="005127B5" w:rsidRPr="008E1DB2">
        <w:rPr>
          <w:szCs w:val="24"/>
        </w:rPr>
        <w:t>s</w:t>
      </w:r>
      <w:r w:rsidR="00E9147F" w:rsidRPr="008E1DB2">
        <w:rPr>
          <w:szCs w:val="24"/>
        </w:rPr>
        <w:t xml:space="preserve"> provided in Appendix </w:t>
      </w:r>
      <w:r w:rsidR="00EA0923" w:rsidRPr="008E1DB2">
        <w:rPr>
          <w:szCs w:val="24"/>
        </w:rPr>
        <w:t>B</w:t>
      </w:r>
      <w:r w:rsidR="00EE5712" w:rsidRPr="008E1DB2">
        <w:rPr>
          <w:szCs w:val="24"/>
        </w:rPr>
        <w:t>.</w:t>
      </w:r>
    </w:p>
    <w:p w14:paraId="1E4615F2" w14:textId="77777777" w:rsidR="00C70BF4" w:rsidRPr="008E1DB2" w:rsidRDefault="00C70BF4" w:rsidP="00C70BF4">
      <w:pPr>
        <w:autoSpaceDE w:val="0"/>
        <w:autoSpaceDN w:val="0"/>
        <w:adjustRightInd w:val="0"/>
        <w:jc w:val="both"/>
        <w:rPr>
          <w:szCs w:val="24"/>
        </w:rPr>
      </w:pPr>
    </w:p>
    <w:p w14:paraId="01C4ADAC" w14:textId="77777777" w:rsidR="001907F0" w:rsidRPr="008E1DB2" w:rsidRDefault="00C70BF4" w:rsidP="001907F0">
      <w:pPr>
        <w:autoSpaceDE w:val="0"/>
        <w:autoSpaceDN w:val="0"/>
        <w:adjustRightInd w:val="0"/>
        <w:jc w:val="both"/>
        <w:rPr>
          <w:szCs w:val="24"/>
        </w:rPr>
      </w:pPr>
      <w:r w:rsidRPr="008E1DB2">
        <w:rPr>
          <w:szCs w:val="24"/>
        </w:rPr>
        <w:t>4</w:t>
      </w:r>
      <w:r w:rsidR="001907F0" w:rsidRPr="008E1DB2">
        <w:rPr>
          <w:szCs w:val="24"/>
        </w:rPr>
        <w:t xml:space="preserve">.  </w:t>
      </w:r>
      <w:r w:rsidR="00EA0923" w:rsidRPr="008E1DB2">
        <w:rPr>
          <w:szCs w:val="24"/>
        </w:rPr>
        <w:t xml:space="preserve"> </w:t>
      </w:r>
      <w:r w:rsidR="001907F0" w:rsidRPr="008E1DB2">
        <w:rPr>
          <w:b/>
          <w:szCs w:val="24"/>
        </w:rPr>
        <w:t xml:space="preserve">Manager Services </w:t>
      </w:r>
      <w:r w:rsidR="00045891" w:rsidRPr="008E1DB2">
        <w:rPr>
          <w:b/>
          <w:szCs w:val="24"/>
        </w:rPr>
        <w:t>Questionnaire</w:t>
      </w:r>
      <w:r w:rsidR="0081169B" w:rsidRPr="008E1DB2">
        <w:rPr>
          <w:b/>
          <w:szCs w:val="24"/>
        </w:rPr>
        <w:t xml:space="preserve">: </w:t>
      </w:r>
      <w:r w:rsidR="001907F0" w:rsidRPr="008E1DB2">
        <w:rPr>
          <w:szCs w:val="24"/>
        </w:rPr>
        <w:t>The responder must complete the required questions in t</w:t>
      </w:r>
      <w:r w:rsidR="00EA0923" w:rsidRPr="008E1DB2">
        <w:rPr>
          <w:szCs w:val="24"/>
        </w:rPr>
        <w:t>he order presented in Appendix C</w:t>
      </w:r>
      <w:r w:rsidR="001907F0" w:rsidRPr="008E1DB2">
        <w:rPr>
          <w:szCs w:val="24"/>
        </w:rPr>
        <w:t>.</w:t>
      </w:r>
    </w:p>
    <w:p w14:paraId="71476145" w14:textId="77777777" w:rsidR="005020E8" w:rsidRPr="008E1DB2" w:rsidRDefault="005020E8" w:rsidP="001907F0">
      <w:pPr>
        <w:autoSpaceDE w:val="0"/>
        <w:autoSpaceDN w:val="0"/>
        <w:adjustRightInd w:val="0"/>
        <w:jc w:val="both"/>
        <w:rPr>
          <w:szCs w:val="24"/>
        </w:rPr>
      </w:pPr>
    </w:p>
    <w:p w14:paraId="5A6B8057" w14:textId="77777777" w:rsidR="00E24DCE" w:rsidRPr="008E1DB2" w:rsidRDefault="007B482B" w:rsidP="007B482B">
      <w:pPr>
        <w:jc w:val="both"/>
        <w:rPr>
          <w:szCs w:val="24"/>
        </w:rPr>
      </w:pPr>
      <w:r w:rsidRPr="008E1DB2">
        <w:rPr>
          <w:b/>
          <w:szCs w:val="24"/>
        </w:rPr>
        <w:t>Contract Negotiating and Awarding</w:t>
      </w:r>
      <w:r w:rsidR="00E24DCE" w:rsidRPr="008E1DB2">
        <w:rPr>
          <w:szCs w:val="24"/>
        </w:rPr>
        <w:t xml:space="preserve"> </w:t>
      </w:r>
    </w:p>
    <w:p w14:paraId="69276624" w14:textId="77777777" w:rsidR="00E24DCE" w:rsidRPr="008E1DB2" w:rsidRDefault="00E24DCE" w:rsidP="007B482B">
      <w:pPr>
        <w:jc w:val="both"/>
        <w:rPr>
          <w:szCs w:val="24"/>
        </w:rPr>
      </w:pPr>
    </w:p>
    <w:p w14:paraId="2786596F" w14:textId="77777777" w:rsidR="00C70BF4" w:rsidRPr="008E1DB2" w:rsidRDefault="00563798" w:rsidP="00C70BF4">
      <w:pPr>
        <w:jc w:val="both"/>
        <w:rPr>
          <w:szCs w:val="24"/>
        </w:rPr>
      </w:pPr>
      <w:r w:rsidRPr="008E1DB2">
        <w:t>Although</w:t>
      </w:r>
      <w:r w:rsidR="00C70BF4" w:rsidRPr="008E1DB2">
        <w:t xml:space="preserve"> fees are a material element in selection, cost, however, is only one of several factors used to evaluate proposals.  The successful bidder agrees that any resulting contract awarded under this RFP is subject to successful contract negotiations. If SURS and the successful bidder cannot reach an agreement on contract terms, a contract may not be awarded to said bidder. </w:t>
      </w:r>
    </w:p>
    <w:p w14:paraId="6821AF72" w14:textId="77777777" w:rsidR="00C70BF4" w:rsidRPr="008E1DB2" w:rsidRDefault="00C70BF4" w:rsidP="00C70BF4">
      <w:pPr>
        <w:jc w:val="both"/>
      </w:pPr>
    </w:p>
    <w:p w14:paraId="6F548420" w14:textId="3340B8CB" w:rsidR="00C70BF4" w:rsidRPr="008E1DB2" w:rsidRDefault="00C70BF4" w:rsidP="00C70BF4">
      <w:pPr>
        <w:jc w:val="both"/>
      </w:pPr>
      <w:r w:rsidRPr="008E1DB2">
        <w:t>Services provided by the successful bidder must be performed in compliance with all applicable federal and state laws.  The successful bidder agrees that any contract awarded under this RFP shall be enforced, governed and construed in all respects in accordance with the laws of the State of Illinois to the extent such laws are not pre-empted by the laws of the Unites States of America.   The successful bidder agrees that</w:t>
      </w:r>
      <w:r w:rsidR="00563798" w:rsidRPr="008E1DB2">
        <w:t>, if required by law,</w:t>
      </w:r>
      <w:r w:rsidRPr="008E1DB2">
        <w:t xml:space="preserve"> it will bring any suit, action, claim or proceeding in, and will submit to (and consents and waives any objection to) the jurisdiction of the Illinois Court of Claims in connection with any claim asserted against SURS arising out of, or in connection with, any Agreement awarded under  this RFP.  </w:t>
      </w:r>
      <w:r w:rsidR="00563798" w:rsidRPr="008E1DB2">
        <w:t>If a filing in the Illinois Court of Claims is not required by law, t</w:t>
      </w:r>
      <w:r w:rsidRPr="008E1DB2">
        <w:t>he successful bidder agrees to submit to (and consents and waives any objection to) the jurisdiction of each of the Sixth Judicial Circuit of Illinois, Champaign County, Urbana, Illinois and the United States District Court for the Central District of Illinois in Urbana, Illinois in respect of any suit, action, claim or proceeding brought by SURS arising out of, or in connection with, this Agreement.  The successful bidder agrees that SURS does not waive sovereign immunity by entering into an Agreement awarded under this RFP.</w:t>
      </w:r>
    </w:p>
    <w:p w14:paraId="67088E71" w14:textId="77777777" w:rsidR="001007D0" w:rsidRDefault="001007D0" w:rsidP="00C61872">
      <w:pPr>
        <w:spacing w:after="200" w:line="276" w:lineRule="auto"/>
        <w:jc w:val="left"/>
        <w:rPr>
          <w:b/>
        </w:rPr>
      </w:pPr>
    </w:p>
    <w:p w14:paraId="185DA60E" w14:textId="4AB3992F" w:rsidR="00F25937" w:rsidRPr="008E1DB2" w:rsidRDefault="00F25937" w:rsidP="00C61872">
      <w:pPr>
        <w:spacing w:after="200" w:line="276" w:lineRule="auto"/>
        <w:jc w:val="left"/>
        <w:rPr>
          <w:b/>
        </w:rPr>
      </w:pPr>
      <w:r w:rsidRPr="008E1DB2">
        <w:rPr>
          <w:b/>
        </w:rPr>
        <w:t xml:space="preserve">SECTION </w:t>
      </w:r>
      <w:r w:rsidR="0004357A" w:rsidRPr="008E1DB2">
        <w:rPr>
          <w:b/>
        </w:rPr>
        <w:t>I</w:t>
      </w:r>
      <w:r w:rsidRPr="008E1DB2">
        <w:rPr>
          <w:b/>
        </w:rPr>
        <w:t xml:space="preserve">V: SUBMISSION OF PROPOSAL AND SELECTION PROCESS </w:t>
      </w:r>
    </w:p>
    <w:p w14:paraId="42A043CF" w14:textId="77777777" w:rsidR="00F25937" w:rsidRPr="008E1DB2" w:rsidRDefault="00F25937" w:rsidP="00F25937">
      <w:pPr>
        <w:jc w:val="left"/>
        <w:rPr>
          <w:b/>
        </w:rPr>
      </w:pPr>
      <w:r w:rsidRPr="008E1DB2">
        <w:rPr>
          <w:b/>
        </w:rPr>
        <w:t>1. Schedule</w:t>
      </w:r>
    </w:p>
    <w:p w14:paraId="19563EE2" w14:textId="77777777" w:rsidR="00F25937" w:rsidRPr="008E1DB2" w:rsidRDefault="00F25937" w:rsidP="00F25937">
      <w:pPr>
        <w:jc w:val="left"/>
        <w:rPr>
          <w:b/>
        </w:rPr>
      </w:pPr>
    </w:p>
    <w:p w14:paraId="1CB7200C" w14:textId="77777777" w:rsidR="00F25937" w:rsidRPr="008E1DB2" w:rsidRDefault="00F25937" w:rsidP="00F25937">
      <w:pPr>
        <w:jc w:val="both"/>
      </w:pPr>
      <w:r w:rsidRPr="008E1DB2">
        <w:rPr>
          <w:b/>
        </w:rPr>
        <w:t xml:space="preserve">SURS reserves the right to alter the following schedule if necessary. </w:t>
      </w:r>
      <w:r w:rsidRPr="008E1DB2">
        <w:t>If the schedule ch</w:t>
      </w:r>
      <w:r w:rsidR="00C03D8B" w:rsidRPr="008E1DB2">
        <w:t>anges</w:t>
      </w:r>
      <w:r w:rsidR="00AC447F" w:rsidRPr="008E1DB2">
        <w:t>,</w:t>
      </w:r>
      <w:r w:rsidR="00C03D8B" w:rsidRPr="008E1DB2">
        <w:t xml:space="preserve"> a SURS representative</w:t>
      </w:r>
      <w:r w:rsidRPr="008E1DB2">
        <w:t xml:space="preserve"> will notify the affected responders via e-mail. In no event will the dates listed below be changed to earlier dates.</w:t>
      </w:r>
    </w:p>
    <w:p w14:paraId="38552BD3" w14:textId="77777777" w:rsidR="00287760" w:rsidRPr="00B52E14" w:rsidRDefault="00287760" w:rsidP="00F25937">
      <w:pPr>
        <w:jc w:val="left"/>
        <w:rPr>
          <w:b/>
          <w:highlight w:val="yellow"/>
          <w:u w:val="single"/>
        </w:rPr>
      </w:pPr>
    </w:p>
    <w:p w14:paraId="3A4F5D5E" w14:textId="77777777" w:rsidR="009E356E" w:rsidRPr="00B52E14" w:rsidRDefault="009E356E" w:rsidP="00F25937">
      <w:pPr>
        <w:jc w:val="left"/>
        <w:rPr>
          <w:b/>
          <w:highlight w:val="yellow"/>
          <w:u w:val="single"/>
        </w:rPr>
      </w:pPr>
    </w:p>
    <w:p w14:paraId="367F11B9" w14:textId="4E58A8C5" w:rsidR="00E27028" w:rsidRPr="0053403C" w:rsidRDefault="00F25937" w:rsidP="00F25937">
      <w:pPr>
        <w:jc w:val="left"/>
        <w:rPr>
          <w:b/>
        </w:rPr>
      </w:pPr>
      <w:r w:rsidRPr="0053403C">
        <w:rPr>
          <w:b/>
          <w:u w:val="single"/>
        </w:rPr>
        <w:t>Schedule</w:t>
      </w:r>
      <w:r w:rsidRPr="0053403C">
        <w:rPr>
          <w:b/>
        </w:rPr>
        <w:tab/>
      </w:r>
      <w:r w:rsidRPr="0053403C">
        <w:rPr>
          <w:b/>
        </w:rPr>
        <w:tab/>
      </w:r>
      <w:r w:rsidRPr="0053403C">
        <w:rPr>
          <w:b/>
        </w:rPr>
        <w:tab/>
      </w:r>
      <w:r w:rsidRPr="0053403C">
        <w:rPr>
          <w:b/>
        </w:rPr>
        <w:tab/>
      </w:r>
      <w:r w:rsidRPr="0053403C">
        <w:rPr>
          <w:b/>
        </w:rPr>
        <w:tab/>
      </w:r>
      <w:r w:rsidR="00E27028" w:rsidRPr="0053403C">
        <w:rPr>
          <w:b/>
          <w:u w:val="single"/>
        </w:rPr>
        <w:t>Dates</w:t>
      </w:r>
    </w:p>
    <w:p w14:paraId="43D7B867" w14:textId="27214BE8" w:rsidR="00E27028" w:rsidRPr="0053403C" w:rsidRDefault="00D7394F" w:rsidP="00F25937">
      <w:pPr>
        <w:jc w:val="left"/>
        <w:rPr>
          <w:b/>
        </w:rPr>
      </w:pPr>
      <w:r w:rsidRPr="0053403C">
        <w:t>Quiet Period Begins</w:t>
      </w:r>
      <w:r w:rsidRPr="0053403C">
        <w:tab/>
      </w:r>
      <w:r w:rsidRPr="0053403C">
        <w:tab/>
      </w:r>
      <w:r w:rsidRPr="0053403C">
        <w:tab/>
      </w:r>
      <w:r w:rsidRPr="0053403C">
        <w:tab/>
      </w:r>
      <w:r w:rsidR="008E1DB2" w:rsidRPr="0053403C">
        <w:t xml:space="preserve">January </w:t>
      </w:r>
      <w:r w:rsidR="00863798">
        <w:t>17</w:t>
      </w:r>
      <w:r w:rsidR="00182BCA" w:rsidRPr="0053403C">
        <w:t>, 20</w:t>
      </w:r>
      <w:r w:rsidR="008E1DB2" w:rsidRPr="0053403C">
        <w:t>20</w:t>
      </w:r>
    </w:p>
    <w:p w14:paraId="45CA2B39" w14:textId="4369B974" w:rsidR="00F25937" w:rsidRPr="0053403C" w:rsidRDefault="00F25937" w:rsidP="00F25937">
      <w:pPr>
        <w:jc w:val="left"/>
      </w:pPr>
      <w:r w:rsidRPr="0053403C">
        <w:t>RFP Issued</w:t>
      </w:r>
      <w:r w:rsidRPr="0053403C">
        <w:tab/>
      </w:r>
      <w:r w:rsidRPr="0053403C">
        <w:tab/>
      </w:r>
      <w:r w:rsidRPr="0053403C">
        <w:tab/>
      </w:r>
      <w:r w:rsidRPr="0053403C">
        <w:tab/>
      </w:r>
      <w:r w:rsidRPr="0053403C">
        <w:tab/>
      </w:r>
      <w:r w:rsidR="008E1DB2" w:rsidRPr="0053403C">
        <w:t xml:space="preserve">January </w:t>
      </w:r>
      <w:r w:rsidR="00863798">
        <w:t>17</w:t>
      </w:r>
      <w:r w:rsidR="00182BCA" w:rsidRPr="0053403C">
        <w:t>, 20</w:t>
      </w:r>
      <w:r w:rsidR="008E1DB2" w:rsidRPr="0053403C">
        <w:t>20</w:t>
      </w:r>
      <w:r w:rsidR="000F2612" w:rsidRPr="0053403C">
        <w:tab/>
      </w:r>
      <w:r w:rsidR="000F2612" w:rsidRPr="0053403C">
        <w:tab/>
      </w:r>
    </w:p>
    <w:p w14:paraId="77E90172" w14:textId="49FC7D7E" w:rsidR="000F2612" w:rsidRPr="0053403C" w:rsidRDefault="00F25937" w:rsidP="00F25937">
      <w:pPr>
        <w:jc w:val="left"/>
      </w:pPr>
      <w:r w:rsidRPr="0053403C">
        <w:t>Deadline for Responder Questions</w:t>
      </w:r>
      <w:r w:rsidRPr="0053403C">
        <w:tab/>
      </w:r>
      <w:r w:rsidRPr="0053403C">
        <w:tab/>
      </w:r>
      <w:r w:rsidR="008E1DB2" w:rsidRPr="0053403C">
        <w:rPr>
          <w:szCs w:val="24"/>
        </w:rPr>
        <w:t xml:space="preserve">January </w:t>
      </w:r>
      <w:r w:rsidR="00863798">
        <w:rPr>
          <w:szCs w:val="24"/>
        </w:rPr>
        <w:t>24</w:t>
      </w:r>
      <w:r w:rsidR="00B93257" w:rsidRPr="0053403C">
        <w:rPr>
          <w:szCs w:val="24"/>
        </w:rPr>
        <w:t>, 20</w:t>
      </w:r>
      <w:r w:rsidR="008E1DB2" w:rsidRPr="0053403C">
        <w:rPr>
          <w:szCs w:val="24"/>
        </w:rPr>
        <w:t>20</w:t>
      </w:r>
      <w:r w:rsidR="00E27028" w:rsidRPr="0053403C">
        <w:rPr>
          <w:szCs w:val="24"/>
        </w:rPr>
        <w:tab/>
      </w:r>
    </w:p>
    <w:p w14:paraId="40E96727" w14:textId="76672941" w:rsidR="00F25937" w:rsidRPr="0053403C" w:rsidRDefault="00F25937" w:rsidP="00F25937">
      <w:pPr>
        <w:jc w:val="left"/>
      </w:pPr>
      <w:r w:rsidRPr="0053403C">
        <w:t>Response to Questions</w:t>
      </w:r>
      <w:r w:rsidRPr="0053403C">
        <w:tab/>
      </w:r>
      <w:r w:rsidRPr="0053403C">
        <w:tab/>
      </w:r>
      <w:r w:rsidRPr="0053403C">
        <w:tab/>
      </w:r>
      <w:r w:rsidRPr="0053403C">
        <w:tab/>
      </w:r>
      <w:r w:rsidR="008E1DB2" w:rsidRPr="0053403C">
        <w:rPr>
          <w:szCs w:val="24"/>
        </w:rPr>
        <w:t xml:space="preserve">January </w:t>
      </w:r>
      <w:r w:rsidR="00863798">
        <w:rPr>
          <w:szCs w:val="24"/>
        </w:rPr>
        <w:t>31</w:t>
      </w:r>
      <w:r w:rsidR="00182BCA" w:rsidRPr="0053403C">
        <w:rPr>
          <w:szCs w:val="24"/>
        </w:rPr>
        <w:t>, 20</w:t>
      </w:r>
      <w:r w:rsidR="008E1DB2" w:rsidRPr="0053403C">
        <w:rPr>
          <w:szCs w:val="24"/>
        </w:rPr>
        <w:t>20</w:t>
      </w:r>
      <w:r w:rsidR="00E27028" w:rsidRPr="0053403C">
        <w:t xml:space="preserve"> </w:t>
      </w:r>
    </w:p>
    <w:p w14:paraId="55271D02" w14:textId="0A08DA5E" w:rsidR="00F25937" w:rsidRPr="0053403C" w:rsidRDefault="000F2612" w:rsidP="00F25937">
      <w:pPr>
        <w:jc w:val="left"/>
      </w:pPr>
      <w:r w:rsidRPr="0053403C">
        <w:rPr>
          <w:b/>
        </w:rPr>
        <w:t xml:space="preserve">RFP Responses due </w:t>
      </w:r>
      <w:r w:rsidR="00E27028" w:rsidRPr="0053403C">
        <w:rPr>
          <w:b/>
        </w:rPr>
        <w:t xml:space="preserve">4:30 </w:t>
      </w:r>
      <w:r w:rsidR="007B482B" w:rsidRPr="0053403C">
        <w:rPr>
          <w:b/>
        </w:rPr>
        <w:t>p.m. C</w:t>
      </w:r>
      <w:r w:rsidR="00F25937" w:rsidRPr="0053403C">
        <w:rPr>
          <w:b/>
        </w:rPr>
        <w:t>T</w:t>
      </w:r>
      <w:r w:rsidR="00F25937" w:rsidRPr="0053403C">
        <w:rPr>
          <w:b/>
        </w:rPr>
        <w:tab/>
      </w:r>
      <w:r w:rsidR="00F25937" w:rsidRPr="0053403C">
        <w:rPr>
          <w:b/>
        </w:rPr>
        <w:tab/>
      </w:r>
      <w:r w:rsidR="00863798">
        <w:rPr>
          <w:b/>
          <w:szCs w:val="24"/>
        </w:rPr>
        <w:t>February</w:t>
      </w:r>
      <w:r w:rsidR="000E2FEE" w:rsidRPr="0053403C">
        <w:rPr>
          <w:b/>
          <w:szCs w:val="24"/>
        </w:rPr>
        <w:t xml:space="preserve"> </w:t>
      </w:r>
      <w:r w:rsidR="00863798">
        <w:rPr>
          <w:b/>
          <w:szCs w:val="24"/>
        </w:rPr>
        <w:t>7</w:t>
      </w:r>
      <w:r w:rsidR="00182BCA" w:rsidRPr="0053403C">
        <w:rPr>
          <w:b/>
          <w:szCs w:val="24"/>
        </w:rPr>
        <w:t>, 20</w:t>
      </w:r>
      <w:r w:rsidR="008E1DB2" w:rsidRPr="0053403C">
        <w:rPr>
          <w:b/>
          <w:szCs w:val="24"/>
        </w:rPr>
        <w:t>20</w:t>
      </w:r>
    </w:p>
    <w:p w14:paraId="5890A766" w14:textId="24DF4018" w:rsidR="00F25937" w:rsidRPr="0053403C" w:rsidRDefault="00F25937" w:rsidP="00F25937">
      <w:pPr>
        <w:jc w:val="left"/>
      </w:pPr>
      <w:r w:rsidRPr="0053403C">
        <w:t>Evaluations</w:t>
      </w:r>
      <w:r w:rsidR="00E27028" w:rsidRPr="0053403C">
        <w:tab/>
      </w:r>
      <w:r w:rsidRPr="0053403C">
        <w:tab/>
      </w:r>
      <w:r w:rsidRPr="0053403C">
        <w:tab/>
      </w:r>
      <w:r w:rsidRPr="0053403C">
        <w:tab/>
      </w:r>
      <w:r w:rsidRPr="0053403C">
        <w:tab/>
      </w:r>
      <w:r w:rsidR="008E1DB2" w:rsidRPr="0053403C">
        <w:rPr>
          <w:szCs w:val="24"/>
        </w:rPr>
        <w:t>February</w:t>
      </w:r>
      <w:r w:rsidR="00E27028" w:rsidRPr="0053403C">
        <w:rPr>
          <w:szCs w:val="24"/>
        </w:rPr>
        <w:t xml:space="preserve"> 20</w:t>
      </w:r>
      <w:r w:rsidR="003E2982" w:rsidRPr="0053403C">
        <w:rPr>
          <w:szCs w:val="24"/>
        </w:rPr>
        <w:t>20</w:t>
      </w:r>
    </w:p>
    <w:p w14:paraId="4072CD72" w14:textId="72EEDDD9" w:rsidR="00E27028" w:rsidRPr="0053403C" w:rsidRDefault="00F25937" w:rsidP="00F25937">
      <w:pPr>
        <w:jc w:val="left"/>
      </w:pPr>
      <w:r w:rsidRPr="0053403C">
        <w:t>Ca</w:t>
      </w:r>
      <w:r w:rsidR="00F60616" w:rsidRPr="0053403C">
        <w:t>ndidate Interviews</w:t>
      </w:r>
      <w:r w:rsidR="00F60616" w:rsidRPr="0053403C">
        <w:tab/>
      </w:r>
      <w:r w:rsidR="00F60616" w:rsidRPr="0053403C">
        <w:tab/>
      </w:r>
      <w:r w:rsidR="00F60616" w:rsidRPr="0053403C">
        <w:tab/>
      </w:r>
      <w:r w:rsidR="00F60616" w:rsidRPr="0053403C">
        <w:tab/>
      </w:r>
      <w:r w:rsidR="000E2FEE" w:rsidRPr="0053403C">
        <w:t>February</w:t>
      </w:r>
      <w:r w:rsidR="00534345" w:rsidRPr="0053403C">
        <w:t xml:space="preserve"> 20</w:t>
      </w:r>
      <w:r w:rsidR="00E4070B" w:rsidRPr="0053403C">
        <w:t>20</w:t>
      </w:r>
    </w:p>
    <w:p w14:paraId="0F405CA4" w14:textId="3918ACE5" w:rsidR="00F25937" w:rsidRPr="0053403C" w:rsidRDefault="00846AB7" w:rsidP="00F25937">
      <w:pPr>
        <w:jc w:val="left"/>
      </w:pPr>
      <w:r w:rsidRPr="0053403C">
        <w:t>Estimated Selection Date</w:t>
      </w:r>
      <w:r w:rsidR="00F25937" w:rsidRPr="0053403C">
        <w:t xml:space="preserve">  </w:t>
      </w:r>
      <w:r w:rsidR="00F25937" w:rsidRPr="0053403C">
        <w:tab/>
      </w:r>
      <w:r w:rsidRPr="0053403C">
        <w:tab/>
      </w:r>
      <w:r w:rsidR="000E2FEE" w:rsidRPr="0053403C">
        <w:tab/>
        <w:t>March</w:t>
      </w:r>
      <w:r w:rsidR="00863798">
        <w:t xml:space="preserve"> 12</w:t>
      </w:r>
      <w:r w:rsidR="00E839FF" w:rsidRPr="0053403C">
        <w:t>,</w:t>
      </w:r>
      <w:r w:rsidR="00E4070B" w:rsidRPr="0053403C">
        <w:rPr>
          <w:szCs w:val="24"/>
        </w:rPr>
        <w:t xml:space="preserve"> 2020</w:t>
      </w:r>
    </w:p>
    <w:p w14:paraId="253B47DC" w14:textId="77777777" w:rsidR="00D7394F" w:rsidRPr="0053403C" w:rsidRDefault="00D7394F" w:rsidP="00F25937">
      <w:pPr>
        <w:jc w:val="left"/>
        <w:rPr>
          <w:caps/>
        </w:rPr>
      </w:pPr>
    </w:p>
    <w:p w14:paraId="6E407D70" w14:textId="77777777" w:rsidR="00F25937" w:rsidRPr="000E2FEE" w:rsidRDefault="00F25937" w:rsidP="00F25937">
      <w:pPr>
        <w:jc w:val="both"/>
        <w:rPr>
          <w:b/>
        </w:rPr>
      </w:pPr>
      <w:r w:rsidRPr="000E2FEE">
        <w:rPr>
          <w:b/>
        </w:rPr>
        <w:t>2. Submission Process</w:t>
      </w:r>
    </w:p>
    <w:p w14:paraId="3B192C92" w14:textId="77777777" w:rsidR="00F25937" w:rsidRPr="000E2FEE" w:rsidRDefault="00F25937" w:rsidP="00F25937">
      <w:pPr>
        <w:jc w:val="both"/>
        <w:rPr>
          <w:b/>
        </w:rPr>
      </w:pPr>
    </w:p>
    <w:p w14:paraId="4FCFB2AE" w14:textId="77777777" w:rsidR="00F25937" w:rsidRPr="000E2FEE" w:rsidRDefault="00F25937" w:rsidP="00F25937">
      <w:pPr>
        <w:jc w:val="both"/>
      </w:pPr>
      <w:r w:rsidRPr="000E2FEE">
        <w:rPr>
          <w:b/>
          <w:u w:val="single"/>
        </w:rPr>
        <w:t>Deadline</w:t>
      </w:r>
      <w:r w:rsidRPr="000E2FEE">
        <w:t xml:space="preserve">: </w:t>
      </w:r>
    </w:p>
    <w:p w14:paraId="6E06AEA6" w14:textId="77777777" w:rsidR="00F25937" w:rsidRPr="00B52E14" w:rsidRDefault="00F25937" w:rsidP="00F25937">
      <w:pPr>
        <w:jc w:val="both"/>
        <w:rPr>
          <w:highlight w:val="yellow"/>
        </w:rPr>
      </w:pPr>
    </w:p>
    <w:p w14:paraId="116716A9" w14:textId="25D6EB46" w:rsidR="00F25937" w:rsidRPr="00B52E14" w:rsidRDefault="0081169B" w:rsidP="00F25937">
      <w:pPr>
        <w:jc w:val="both"/>
        <w:rPr>
          <w:b/>
          <w:highlight w:val="yellow"/>
        </w:rPr>
      </w:pPr>
      <w:r w:rsidRPr="0053403C">
        <w:t xml:space="preserve">To be considered for selection, proposals must be received via e-mail in Adobe Acrobat format at </w:t>
      </w:r>
      <w:hyperlink r:id="rId14" w:history="1">
        <w:r w:rsidRPr="0053403C">
          <w:rPr>
            <w:rStyle w:val="Hyperlink"/>
          </w:rPr>
          <w:t>Procurement_Officer@surs.org</w:t>
        </w:r>
      </w:hyperlink>
      <w:r w:rsidRPr="0053403C">
        <w:rPr>
          <w:rStyle w:val="Hyperlink"/>
        </w:rPr>
        <w:t xml:space="preserve"> </w:t>
      </w:r>
      <w:r w:rsidR="00B10B24" w:rsidRPr="0053403C">
        <w:t>and</w:t>
      </w:r>
      <w:r w:rsidR="00990761" w:rsidRPr="0053403C">
        <w:t xml:space="preserve"> at </w:t>
      </w:r>
      <w:hyperlink r:id="rId15" w:history="1">
        <w:r w:rsidR="0053403C" w:rsidRPr="0053403C">
          <w:rPr>
            <w:rStyle w:val="Hyperlink"/>
          </w:rPr>
          <w:t>rfpresponse@meketa.com</w:t>
        </w:r>
      </w:hyperlink>
      <w:r w:rsidR="002512CF" w:rsidRPr="0053403C">
        <w:t xml:space="preserve"> </w:t>
      </w:r>
      <w:r w:rsidR="00E343C4" w:rsidRPr="0053403C">
        <w:t xml:space="preserve">no </w:t>
      </w:r>
      <w:r w:rsidR="00F25937" w:rsidRPr="0053403C">
        <w:t xml:space="preserve">later than </w:t>
      </w:r>
      <w:r w:rsidR="00E27028" w:rsidRPr="0053403C">
        <w:rPr>
          <w:b/>
        </w:rPr>
        <w:t>4:30 p.m</w:t>
      </w:r>
      <w:r w:rsidR="007B482B" w:rsidRPr="0053403C">
        <w:rPr>
          <w:b/>
        </w:rPr>
        <w:t>. C</w:t>
      </w:r>
      <w:r w:rsidR="00F25937" w:rsidRPr="0053403C">
        <w:rPr>
          <w:b/>
        </w:rPr>
        <w:t xml:space="preserve">T, </w:t>
      </w:r>
      <w:r w:rsidR="00863798">
        <w:rPr>
          <w:b/>
          <w:szCs w:val="24"/>
        </w:rPr>
        <w:t>February</w:t>
      </w:r>
      <w:r w:rsidR="000E2FEE" w:rsidRPr="0053403C">
        <w:rPr>
          <w:b/>
          <w:szCs w:val="24"/>
        </w:rPr>
        <w:t xml:space="preserve"> </w:t>
      </w:r>
      <w:r w:rsidR="00863798">
        <w:rPr>
          <w:b/>
          <w:szCs w:val="24"/>
        </w:rPr>
        <w:t>7</w:t>
      </w:r>
      <w:r w:rsidR="00182BCA" w:rsidRPr="0053403C">
        <w:rPr>
          <w:b/>
          <w:szCs w:val="24"/>
        </w:rPr>
        <w:t>, 20</w:t>
      </w:r>
      <w:r w:rsidR="000E2FEE" w:rsidRPr="0053403C">
        <w:rPr>
          <w:b/>
          <w:szCs w:val="24"/>
        </w:rPr>
        <w:t>20</w:t>
      </w:r>
      <w:r w:rsidR="00182BCA" w:rsidRPr="0053403C">
        <w:rPr>
          <w:b/>
          <w:szCs w:val="24"/>
        </w:rPr>
        <w:t xml:space="preserve"> </w:t>
      </w:r>
      <w:r w:rsidR="00F25937" w:rsidRPr="0053403C">
        <w:rPr>
          <w:b/>
          <w:i/>
        </w:rPr>
        <w:t xml:space="preserve">Please reference the </w:t>
      </w:r>
      <w:r w:rsidR="00D7394F" w:rsidRPr="0053403C">
        <w:rPr>
          <w:b/>
          <w:i/>
        </w:rPr>
        <w:t>“</w:t>
      </w:r>
      <w:r w:rsidR="0004605E" w:rsidRPr="0053403C">
        <w:rPr>
          <w:b/>
          <w:i/>
        </w:rPr>
        <w:t xml:space="preserve">SURS </w:t>
      </w:r>
      <w:r w:rsidR="000E2FEE" w:rsidRPr="0053403C">
        <w:rPr>
          <w:b/>
          <w:i/>
        </w:rPr>
        <w:t>Fixed Income Manger of Managers</w:t>
      </w:r>
      <w:r w:rsidR="00E27028" w:rsidRPr="0053403C">
        <w:rPr>
          <w:b/>
          <w:i/>
        </w:rPr>
        <w:t xml:space="preserve"> </w:t>
      </w:r>
      <w:r w:rsidR="00F25937" w:rsidRPr="0053403C">
        <w:rPr>
          <w:b/>
          <w:i/>
        </w:rPr>
        <w:t>RFP</w:t>
      </w:r>
      <w:r w:rsidR="00E27028" w:rsidRPr="0053403C">
        <w:rPr>
          <w:b/>
          <w:i/>
        </w:rPr>
        <w:t xml:space="preserve"> Response</w:t>
      </w:r>
      <w:r w:rsidR="00D7394F" w:rsidRPr="0053403C">
        <w:rPr>
          <w:b/>
          <w:i/>
        </w:rPr>
        <w:t xml:space="preserve"> </w:t>
      </w:r>
      <w:r w:rsidR="00E27028" w:rsidRPr="0053403C">
        <w:rPr>
          <w:b/>
          <w:i/>
        </w:rPr>
        <w:t>- Name of Responder</w:t>
      </w:r>
      <w:r w:rsidR="00F25937" w:rsidRPr="0053403C">
        <w:rPr>
          <w:b/>
          <w:i/>
        </w:rPr>
        <w:t>” in your communications.</w:t>
      </w:r>
      <w:r w:rsidR="00F25937" w:rsidRPr="0053403C">
        <w:t xml:space="preserve">  </w:t>
      </w:r>
      <w:r w:rsidR="00F25937" w:rsidRPr="0053403C">
        <w:rPr>
          <w:b/>
        </w:rPr>
        <w:t xml:space="preserve">An e-mail confirmation will be sent confirming receipt of the proposal.  </w:t>
      </w:r>
    </w:p>
    <w:p w14:paraId="3ADD0AB7" w14:textId="77777777" w:rsidR="005437C5" w:rsidRPr="00B52E14" w:rsidRDefault="005437C5" w:rsidP="00F25937">
      <w:pPr>
        <w:jc w:val="both"/>
        <w:rPr>
          <w:highlight w:val="yellow"/>
        </w:rPr>
      </w:pPr>
    </w:p>
    <w:p w14:paraId="4CF0E698" w14:textId="77777777" w:rsidR="00F25937" w:rsidRPr="0053403C" w:rsidRDefault="00F25937" w:rsidP="00F25937">
      <w:pPr>
        <w:jc w:val="both"/>
      </w:pPr>
      <w:r w:rsidRPr="0053403C">
        <w:rPr>
          <w:b/>
          <w:u w:val="single"/>
        </w:rPr>
        <w:t>Withdrawal</w:t>
      </w:r>
      <w:r w:rsidR="00C71CCF" w:rsidRPr="0053403C">
        <w:rPr>
          <w:b/>
          <w:u w:val="single"/>
        </w:rPr>
        <w:t xml:space="preserve"> and Modifications</w:t>
      </w:r>
      <w:r w:rsidRPr="0053403C">
        <w:t>:</w:t>
      </w:r>
    </w:p>
    <w:p w14:paraId="50CB466F" w14:textId="77777777" w:rsidR="00F25937" w:rsidRPr="0053403C" w:rsidRDefault="00F25937" w:rsidP="00F25937">
      <w:pPr>
        <w:jc w:val="both"/>
      </w:pPr>
    </w:p>
    <w:p w14:paraId="3B04A93D" w14:textId="0A350C54" w:rsidR="008F09D5" w:rsidRPr="00B52E14" w:rsidRDefault="00F25937" w:rsidP="00F25937">
      <w:pPr>
        <w:jc w:val="both"/>
        <w:rPr>
          <w:highlight w:val="yellow"/>
        </w:rPr>
      </w:pPr>
      <w:r w:rsidRPr="0053403C">
        <w:t>A proposal may be withdrawn any time prior to the deadline by written notification signed by the individual applicant or authorized agent of the firm and received by</w:t>
      </w:r>
      <w:r w:rsidR="000F2612" w:rsidRPr="0053403C">
        <w:t xml:space="preserve"> </w:t>
      </w:r>
      <w:r w:rsidR="00990761" w:rsidRPr="0053403C">
        <w:t>the SURS representatives</w:t>
      </w:r>
      <w:r w:rsidR="00D30FD4" w:rsidRPr="0053403C">
        <w:t xml:space="preserve"> </w:t>
      </w:r>
      <w:r w:rsidRPr="0053403C">
        <w:t xml:space="preserve">at </w:t>
      </w:r>
      <w:hyperlink r:id="rId16" w:history="1">
        <w:r w:rsidR="00AF1538" w:rsidRPr="0053403C">
          <w:rPr>
            <w:rStyle w:val="Hyperlink"/>
          </w:rPr>
          <w:t>Procurement_Officer@surs.org</w:t>
        </w:r>
      </w:hyperlink>
      <w:r w:rsidR="003A2978" w:rsidRPr="0053403C">
        <w:t xml:space="preserve"> </w:t>
      </w:r>
      <w:r w:rsidR="00AF1538" w:rsidRPr="0053403C">
        <w:t>and</w:t>
      </w:r>
      <w:r w:rsidR="0053403C" w:rsidRPr="0053403C">
        <w:t xml:space="preserve"> at </w:t>
      </w:r>
      <w:hyperlink r:id="rId17" w:history="1">
        <w:r w:rsidR="0053403C" w:rsidRPr="0053403C">
          <w:rPr>
            <w:rStyle w:val="Hyperlink"/>
          </w:rPr>
          <w:t>rfpresponse@meketa.com</w:t>
        </w:r>
      </w:hyperlink>
      <w:r w:rsidR="00FC5221" w:rsidRPr="0053403C">
        <w:t xml:space="preserve"> no</w:t>
      </w:r>
      <w:r w:rsidRPr="0053403C">
        <w:t xml:space="preserve"> later than the deadline of </w:t>
      </w:r>
      <w:r w:rsidR="00E27028" w:rsidRPr="0053403C">
        <w:rPr>
          <w:b/>
        </w:rPr>
        <w:t>4:30 p.m</w:t>
      </w:r>
      <w:r w:rsidR="007B482B" w:rsidRPr="0053403C">
        <w:rPr>
          <w:b/>
        </w:rPr>
        <w:t>. C</w:t>
      </w:r>
      <w:r w:rsidR="00F60616" w:rsidRPr="0053403C">
        <w:rPr>
          <w:b/>
        </w:rPr>
        <w:t>T</w:t>
      </w:r>
      <w:r w:rsidR="003E2982" w:rsidRPr="0053403C">
        <w:rPr>
          <w:b/>
        </w:rPr>
        <w:t xml:space="preserve">, </w:t>
      </w:r>
      <w:r w:rsidR="00863798">
        <w:rPr>
          <w:b/>
        </w:rPr>
        <w:t>February</w:t>
      </w:r>
      <w:r w:rsidR="000E2FEE" w:rsidRPr="0053403C">
        <w:rPr>
          <w:b/>
        </w:rPr>
        <w:t xml:space="preserve"> </w:t>
      </w:r>
      <w:r w:rsidR="00863798">
        <w:rPr>
          <w:b/>
        </w:rPr>
        <w:t>7</w:t>
      </w:r>
      <w:r w:rsidR="00182BCA" w:rsidRPr="0053403C">
        <w:rPr>
          <w:b/>
          <w:szCs w:val="24"/>
        </w:rPr>
        <w:t>, 20</w:t>
      </w:r>
      <w:r w:rsidR="000E2FEE" w:rsidRPr="0053403C">
        <w:rPr>
          <w:b/>
          <w:szCs w:val="24"/>
        </w:rPr>
        <w:t>20</w:t>
      </w:r>
      <w:r w:rsidR="00E27028" w:rsidRPr="0053403C">
        <w:t xml:space="preserve">. </w:t>
      </w:r>
      <w:r w:rsidRPr="0053403C">
        <w:t xml:space="preserve"> </w:t>
      </w:r>
      <w:r w:rsidR="00E27028" w:rsidRPr="0053403C">
        <w:rPr>
          <w:b/>
          <w:i/>
        </w:rPr>
        <w:t xml:space="preserve">Please reference the </w:t>
      </w:r>
      <w:r w:rsidR="00D30FD4" w:rsidRPr="0053403C">
        <w:rPr>
          <w:b/>
          <w:i/>
        </w:rPr>
        <w:t>“</w:t>
      </w:r>
      <w:r w:rsidR="0004605E" w:rsidRPr="0053403C">
        <w:rPr>
          <w:b/>
          <w:i/>
        </w:rPr>
        <w:t xml:space="preserve">SURS </w:t>
      </w:r>
      <w:r w:rsidR="000E2FEE" w:rsidRPr="0053403C">
        <w:rPr>
          <w:b/>
          <w:i/>
        </w:rPr>
        <w:t>Fixed Income Manager of Managers</w:t>
      </w:r>
      <w:r w:rsidR="00E27028" w:rsidRPr="0053403C">
        <w:rPr>
          <w:b/>
          <w:i/>
        </w:rPr>
        <w:t xml:space="preserve"> RFP Response</w:t>
      </w:r>
      <w:r w:rsidR="00D7394F" w:rsidRPr="0053403C">
        <w:rPr>
          <w:b/>
          <w:i/>
        </w:rPr>
        <w:t xml:space="preserve"> </w:t>
      </w:r>
      <w:r w:rsidR="00E27028" w:rsidRPr="0053403C">
        <w:rPr>
          <w:b/>
          <w:i/>
        </w:rPr>
        <w:t>- Name of Responder” in your communications</w:t>
      </w:r>
      <w:r w:rsidRPr="0053403C">
        <w:rPr>
          <w:b/>
          <w:i/>
        </w:rPr>
        <w:t>.</w:t>
      </w:r>
      <w:r w:rsidRPr="0053403C">
        <w:t xml:space="preserve">   An e-mail confirmation will be sent confirming withdrawal of the proposal.  The proposal may be resubmitted with any modifications </w:t>
      </w:r>
      <w:r w:rsidRPr="0053403C">
        <w:rPr>
          <w:b/>
        </w:rPr>
        <w:t>no later than</w:t>
      </w:r>
      <w:r w:rsidRPr="0053403C">
        <w:t xml:space="preserve"> the </w:t>
      </w:r>
      <w:r w:rsidR="00C71CCF" w:rsidRPr="0053403C">
        <w:t xml:space="preserve">submission </w:t>
      </w:r>
      <w:r w:rsidRPr="0053403C">
        <w:t>deadline. Modifications offered in any other manner will not be considered.</w:t>
      </w:r>
      <w:r w:rsidRPr="00B52E14">
        <w:rPr>
          <w:highlight w:val="yellow"/>
        </w:rPr>
        <w:t xml:space="preserve">  </w:t>
      </w:r>
    </w:p>
    <w:p w14:paraId="3889897F" w14:textId="77777777" w:rsidR="008F09D5" w:rsidRPr="00B52E14" w:rsidRDefault="008F09D5" w:rsidP="00F25937">
      <w:pPr>
        <w:jc w:val="both"/>
        <w:rPr>
          <w:b/>
          <w:highlight w:val="yellow"/>
          <w:u w:val="single"/>
        </w:rPr>
      </w:pPr>
    </w:p>
    <w:p w14:paraId="73E9CCC5" w14:textId="77777777" w:rsidR="001007D0" w:rsidRDefault="001007D0" w:rsidP="00F25937">
      <w:pPr>
        <w:jc w:val="both"/>
        <w:rPr>
          <w:b/>
          <w:u w:val="single"/>
        </w:rPr>
      </w:pPr>
    </w:p>
    <w:p w14:paraId="3B8B3E12" w14:textId="7E248608" w:rsidR="00F25937" w:rsidRPr="000E2FEE" w:rsidRDefault="009C1DE5" w:rsidP="00F25937">
      <w:pPr>
        <w:jc w:val="both"/>
      </w:pPr>
      <w:r w:rsidRPr="000E2FEE">
        <w:rPr>
          <w:b/>
          <w:u w:val="single"/>
        </w:rPr>
        <w:t>Questions</w:t>
      </w:r>
      <w:r w:rsidR="00F25937" w:rsidRPr="000E2FEE">
        <w:rPr>
          <w:b/>
          <w:u w:val="single"/>
        </w:rPr>
        <w:t>:</w:t>
      </w:r>
    </w:p>
    <w:p w14:paraId="67D914B3" w14:textId="77777777" w:rsidR="00F25937" w:rsidRPr="00B52E14" w:rsidRDefault="00F25937" w:rsidP="00F25937">
      <w:pPr>
        <w:jc w:val="both"/>
        <w:rPr>
          <w:highlight w:val="yellow"/>
        </w:rPr>
      </w:pPr>
    </w:p>
    <w:p w14:paraId="0DFC00E8" w14:textId="099AAD16" w:rsidR="0081169B" w:rsidRPr="0053403C" w:rsidRDefault="0081169B" w:rsidP="0081169B">
      <w:pPr>
        <w:tabs>
          <w:tab w:val="left" w:pos="-1080"/>
          <w:tab w:val="left" w:pos="-720"/>
          <w:tab w:val="left" w:pos="0"/>
          <w:tab w:val="left" w:pos="450"/>
          <w:tab w:val="left" w:pos="1350"/>
          <w:tab w:val="left" w:pos="2880"/>
        </w:tabs>
        <w:jc w:val="both"/>
      </w:pPr>
      <w:r w:rsidRPr="0053403C">
        <w:t xml:space="preserve">In order to clarify any issues in this Request for Proposal, SURS will respond only to questions that are presented in writing via e-mail to </w:t>
      </w:r>
      <w:hyperlink r:id="rId18" w:history="1">
        <w:r w:rsidR="0053403C" w:rsidRPr="0053403C">
          <w:rPr>
            <w:rStyle w:val="Hyperlink"/>
          </w:rPr>
          <w:t>Procurement_Officer@surs.org</w:t>
        </w:r>
      </w:hyperlink>
      <w:r w:rsidR="00FC5221" w:rsidRPr="0053403C">
        <w:t xml:space="preserve"> and </w:t>
      </w:r>
      <w:hyperlink r:id="rId19" w:history="1">
        <w:r w:rsidR="002512CF" w:rsidRPr="0053403C">
          <w:rPr>
            <w:rStyle w:val="Hyperlink"/>
          </w:rPr>
          <w:t>jharris@meketagroup.com</w:t>
        </w:r>
      </w:hyperlink>
      <w:r w:rsidR="002512CF" w:rsidRPr="0053403C">
        <w:t xml:space="preserve"> and </w:t>
      </w:r>
      <w:hyperlink r:id="rId20" w:history="1">
        <w:r w:rsidR="00730101" w:rsidRPr="0053403C">
          <w:rPr>
            <w:rStyle w:val="Hyperlink"/>
          </w:rPr>
          <w:t>dsancewich@meketagroup.com</w:t>
        </w:r>
      </w:hyperlink>
      <w:r w:rsidR="00FC5221" w:rsidRPr="0053403C">
        <w:t xml:space="preserve">. </w:t>
      </w:r>
      <w:r w:rsidRPr="0053403C">
        <w:t xml:space="preserve">All questions should be submitted to SURS by </w:t>
      </w:r>
      <w:r w:rsidRPr="0053403C">
        <w:rPr>
          <w:b/>
        </w:rPr>
        <w:t>4:30 p.m. CT</w:t>
      </w:r>
      <w:r w:rsidR="00EF013E" w:rsidRPr="0053403C">
        <w:rPr>
          <w:b/>
        </w:rPr>
        <w:t xml:space="preserve">, </w:t>
      </w:r>
      <w:r w:rsidR="000E2FEE" w:rsidRPr="0053403C">
        <w:rPr>
          <w:b/>
        </w:rPr>
        <w:t>January</w:t>
      </w:r>
      <w:r w:rsidR="003E2982" w:rsidRPr="0053403C">
        <w:rPr>
          <w:b/>
        </w:rPr>
        <w:t xml:space="preserve"> </w:t>
      </w:r>
      <w:r w:rsidR="00863798">
        <w:rPr>
          <w:b/>
        </w:rPr>
        <w:t>24</w:t>
      </w:r>
      <w:r w:rsidR="00182BCA" w:rsidRPr="0053403C">
        <w:rPr>
          <w:b/>
        </w:rPr>
        <w:t>, 20</w:t>
      </w:r>
      <w:r w:rsidR="000E2FEE" w:rsidRPr="0053403C">
        <w:rPr>
          <w:b/>
        </w:rPr>
        <w:t>20</w:t>
      </w:r>
      <w:r w:rsidRPr="0053403C">
        <w:t xml:space="preserve">. </w:t>
      </w:r>
      <w:r w:rsidRPr="0053403C">
        <w:rPr>
          <w:b/>
          <w:i/>
        </w:rPr>
        <w:t>Please reference the “</w:t>
      </w:r>
      <w:r w:rsidR="0004605E" w:rsidRPr="0053403C">
        <w:rPr>
          <w:b/>
          <w:i/>
        </w:rPr>
        <w:t xml:space="preserve">SURS </w:t>
      </w:r>
      <w:r w:rsidR="000E2FEE" w:rsidRPr="0053403C">
        <w:rPr>
          <w:b/>
          <w:i/>
        </w:rPr>
        <w:t>Fixed Income Manager of Managers</w:t>
      </w:r>
      <w:r w:rsidRPr="0053403C">
        <w:rPr>
          <w:b/>
          <w:i/>
        </w:rPr>
        <w:t xml:space="preserve"> RFP Response - Name of Responder” in your communications.</w:t>
      </w:r>
      <w:r w:rsidRPr="0053403C">
        <w:t xml:space="preserve">   These questions will be consolidated into a single Q&amp;A document and responded</w:t>
      </w:r>
      <w:r w:rsidR="00EF013E" w:rsidRPr="0053403C">
        <w:t xml:space="preserve"> to by SURS on, or about</w:t>
      </w:r>
      <w:r w:rsidRPr="0053403C">
        <w:t xml:space="preserve">, </w:t>
      </w:r>
      <w:r w:rsidR="000E2FEE" w:rsidRPr="0053403C">
        <w:rPr>
          <w:b/>
          <w:szCs w:val="24"/>
        </w:rPr>
        <w:t>January</w:t>
      </w:r>
      <w:r w:rsidR="003E2982" w:rsidRPr="0053403C">
        <w:rPr>
          <w:b/>
          <w:szCs w:val="24"/>
        </w:rPr>
        <w:t xml:space="preserve"> </w:t>
      </w:r>
      <w:r w:rsidR="00863798">
        <w:rPr>
          <w:b/>
          <w:szCs w:val="24"/>
        </w:rPr>
        <w:t>31</w:t>
      </w:r>
      <w:r w:rsidR="00182BCA" w:rsidRPr="0053403C">
        <w:rPr>
          <w:b/>
          <w:szCs w:val="24"/>
        </w:rPr>
        <w:t>, 20</w:t>
      </w:r>
      <w:r w:rsidR="000E2FEE" w:rsidRPr="0053403C">
        <w:rPr>
          <w:b/>
          <w:szCs w:val="24"/>
        </w:rPr>
        <w:t>20</w:t>
      </w:r>
      <w:r w:rsidRPr="0053403C">
        <w:t xml:space="preserve">.  The Q&amp;A document will be posted on the SURS web site at </w:t>
      </w:r>
      <w:hyperlink r:id="rId21" w:history="1">
        <w:r w:rsidRPr="0053403C">
          <w:rPr>
            <w:rStyle w:val="Hyperlink"/>
          </w:rPr>
          <w:t>www.surs.org/rfp</w:t>
        </w:r>
      </w:hyperlink>
      <w:r w:rsidRPr="0053403C">
        <w:t xml:space="preserve"> without indicating the source of the query.</w:t>
      </w:r>
    </w:p>
    <w:p w14:paraId="0BF715C9" w14:textId="77777777" w:rsidR="004C2F78" w:rsidRPr="00B52E14" w:rsidRDefault="004C2F78" w:rsidP="005437C5">
      <w:pPr>
        <w:jc w:val="both"/>
        <w:rPr>
          <w:b/>
          <w:highlight w:val="yellow"/>
        </w:rPr>
      </w:pPr>
    </w:p>
    <w:p w14:paraId="4A7BCA50" w14:textId="020C94FB" w:rsidR="00A44CC6" w:rsidRPr="00B52E14" w:rsidRDefault="00A44CC6" w:rsidP="005437C5">
      <w:pPr>
        <w:jc w:val="both"/>
        <w:rPr>
          <w:b/>
          <w:highlight w:val="yellow"/>
        </w:rPr>
      </w:pPr>
    </w:p>
    <w:p w14:paraId="210B6B55" w14:textId="6CF33D19" w:rsidR="00AD4B7F" w:rsidRPr="000E2FEE" w:rsidRDefault="00AD4B7F" w:rsidP="005437C5">
      <w:pPr>
        <w:jc w:val="both"/>
        <w:rPr>
          <w:b/>
        </w:rPr>
      </w:pPr>
      <w:r w:rsidRPr="000E2FEE">
        <w:rPr>
          <w:b/>
        </w:rPr>
        <w:t xml:space="preserve">SECTION V: </w:t>
      </w:r>
      <w:r w:rsidR="00FA7777" w:rsidRPr="000E2FEE">
        <w:rPr>
          <w:b/>
        </w:rPr>
        <w:t>I</w:t>
      </w:r>
      <w:r w:rsidRPr="000E2FEE">
        <w:rPr>
          <w:b/>
        </w:rPr>
        <w:t>LLINOIS FREEDOM OF INFORMATION ACT DISCLOSURE, COMMUNICATIONS AND EVALUATION PROCESS</w:t>
      </w:r>
    </w:p>
    <w:p w14:paraId="4E214EE8" w14:textId="77777777" w:rsidR="00AD4B7F" w:rsidRPr="000E2FEE" w:rsidRDefault="00AD4B7F" w:rsidP="005437C5">
      <w:pPr>
        <w:jc w:val="both"/>
        <w:rPr>
          <w:b/>
          <w:u w:val="single"/>
        </w:rPr>
      </w:pPr>
    </w:p>
    <w:p w14:paraId="6EDCE881" w14:textId="77777777" w:rsidR="005437C5" w:rsidRPr="000E2FEE" w:rsidRDefault="005437C5" w:rsidP="005437C5">
      <w:pPr>
        <w:jc w:val="both"/>
        <w:rPr>
          <w:b/>
          <w:u w:val="single"/>
        </w:rPr>
      </w:pPr>
      <w:r w:rsidRPr="000E2FEE">
        <w:rPr>
          <w:b/>
          <w:u w:val="single"/>
        </w:rPr>
        <w:t>Freedom of Information Act Disclosure:</w:t>
      </w:r>
    </w:p>
    <w:p w14:paraId="2BD08EFB" w14:textId="77777777" w:rsidR="005437C5" w:rsidRPr="000E2FEE" w:rsidRDefault="005437C5" w:rsidP="005437C5">
      <w:pPr>
        <w:jc w:val="both"/>
        <w:rPr>
          <w:b/>
          <w:u w:val="single"/>
        </w:rPr>
      </w:pPr>
    </w:p>
    <w:p w14:paraId="7B09FF3C" w14:textId="77777777" w:rsidR="00317F95" w:rsidRPr="000E2FEE" w:rsidRDefault="00317F95" w:rsidP="00317F95">
      <w:pPr>
        <w:jc w:val="both"/>
        <w:rPr>
          <w:b/>
        </w:rPr>
      </w:pPr>
      <w:r w:rsidRPr="000E2FEE">
        <w:rPr>
          <w:b/>
        </w:rPr>
        <w:t>All materials submitted in response to the RFP become property of SURS. Proposals remain confidential during the selection process. However, upon completion of the selection process, all responses, including that of the individual or firm selected, will be a matter of public information and will be open to public inspection in accordance with the State of Illinois Freedom of Information Act (FOIA)</w:t>
      </w:r>
      <w:r w:rsidR="00AD4B7F" w:rsidRPr="000E2FEE">
        <w:rPr>
          <w:b/>
        </w:rPr>
        <w:t xml:space="preserve"> 5 ILCS 140/1 </w:t>
      </w:r>
      <w:r w:rsidR="00AD4B7F" w:rsidRPr="000E2FEE">
        <w:rPr>
          <w:b/>
          <w:i/>
        </w:rPr>
        <w:t>et. seq</w:t>
      </w:r>
      <w:r w:rsidRPr="000E2FEE">
        <w:rPr>
          <w:b/>
        </w:rPr>
        <w:t>.</w:t>
      </w:r>
    </w:p>
    <w:p w14:paraId="499188A6" w14:textId="77777777" w:rsidR="00317F95" w:rsidRPr="000E2FEE" w:rsidRDefault="00317F95" w:rsidP="00317F95">
      <w:pPr>
        <w:jc w:val="both"/>
      </w:pPr>
    </w:p>
    <w:p w14:paraId="6F3418DA" w14:textId="23533BC1" w:rsidR="00317F95" w:rsidRPr="000E2FEE" w:rsidRDefault="005437C5" w:rsidP="00317F95">
      <w:pPr>
        <w:jc w:val="both"/>
      </w:pPr>
      <w:r w:rsidRPr="000E2FEE">
        <w:t>If, in response to this RFP, trade secrets or commercial or financial information are furnished under a claim that they are proprietary, privileged or confidential and that disclosure of the trade secrets or commercial or financial information would cause competitive harm to the person or business responding to this RFP, such claim must be clearly made and such information must be clearly identified. (5 ILCS 140/7 and 7.5</w:t>
      </w:r>
      <w:r w:rsidR="001C7FC4" w:rsidRPr="000E2FEE">
        <w:t>) </w:t>
      </w:r>
      <w:r w:rsidR="001C7FC4" w:rsidRPr="00003321">
        <w:rPr>
          <w:b/>
          <w:bCs/>
          <w:u w:val="single"/>
        </w:rPr>
        <w:t>Responses</w:t>
      </w:r>
      <w:r w:rsidRPr="000E2FEE">
        <w:rPr>
          <w:b/>
          <w:u w:val="single"/>
        </w:rPr>
        <w:t xml:space="preserve"> to this RFP with every page marked as proprietary, privileged or confidential will not satisfy this requirement.</w:t>
      </w:r>
      <w:r w:rsidRPr="000E2FEE">
        <w:t xml:space="preserve">  Bidders are required to make a good faith attempt to properly identify only those portions of the response that are truly furnished under a claim that they are proprietary, privileged or confidential and that disclosure of the trade secrets or commercial or financial information would cause competitive harm to the person or business responding to this RFP.  </w:t>
      </w:r>
    </w:p>
    <w:p w14:paraId="3CAA4726" w14:textId="77777777" w:rsidR="00317F95" w:rsidRPr="000E2FEE" w:rsidRDefault="00317F95" w:rsidP="005437C5">
      <w:pPr>
        <w:jc w:val="both"/>
        <w:rPr>
          <w:b/>
          <w:bCs/>
        </w:rPr>
      </w:pPr>
    </w:p>
    <w:p w14:paraId="5DDB71B1" w14:textId="77777777" w:rsidR="001262BD" w:rsidRDefault="00FC5221" w:rsidP="00FC5221">
      <w:pPr>
        <w:autoSpaceDE w:val="0"/>
        <w:autoSpaceDN w:val="0"/>
        <w:adjustRightInd w:val="0"/>
        <w:jc w:val="both"/>
        <w:rPr>
          <w:b/>
          <w:szCs w:val="24"/>
        </w:rPr>
      </w:pPr>
      <w:r w:rsidRPr="000E2FEE">
        <w:rPr>
          <w:b/>
          <w:szCs w:val="24"/>
        </w:rPr>
        <w:t xml:space="preserve">Redacted Version of RFP Response:  </w:t>
      </w:r>
      <w:r w:rsidRPr="000E2FEE">
        <w:rPr>
          <w:szCs w:val="24"/>
        </w:rPr>
        <w:t>In the event Responder believes and claims that certain materials or information contained in the submitted response are exempt from public disclosure under the Illinois FOIA, Responder is required to provide a redacted version of the response it believes will be suitable for release under the Illinois Freedom of Information Act (5 ILCS 140/7 and 7.5).</w:t>
      </w:r>
    </w:p>
    <w:p w14:paraId="55023C9C" w14:textId="77777777" w:rsidR="001262BD" w:rsidRDefault="001262BD" w:rsidP="00FC5221">
      <w:pPr>
        <w:autoSpaceDE w:val="0"/>
        <w:autoSpaceDN w:val="0"/>
        <w:adjustRightInd w:val="0"/>
        <w:jc w:val="both"/>
        <w:rPr>
          <w:b/>
          <w:szCs w:val="24"/>
        </w:rPr>
      </w:pPr>
    </w:p>
    <w:p w14:paraId="6B7862A1" w14:textId="3FB787B7" w:rsidR="00FC5221" w:rsidRPr="000E2FEE" w:rsidRDefault="001262BD" w:rsidP="00FC5221">
      <w:pPr>
        <w:autoSpaceDE w:val="0"/>
        <w:autoSpaceDN w:val="0"/>
        <w:adjustRightInd w:val="0"/>
        <w:jc w:val="both"/>
        <w:rPr>
          <w:b/>
          <w:szCs w:val="24"/>
        </w:rPr>
      </w:pPr>
      <w:r>
        <w:rPr>
          <w:bCs/>
          <w:i/>
          <w:iCs/>
          <w:szCs w:val="24"/>
        </w:rPr>
        <w:t xml:space="preserve">Note: </w:t>
      </w:r>
      <w:r w:rsidR="000F7724">
        <w:rPr>
          <w:bCs/>
          <w:i/>
          <w:iCs/>
          <w:szCs w:val="24"/>
        </w:rPr>
        <w:t xml:space="preserve">Pricing and </w:t>
      </w:r>
      <w:r>
        <w:rPr>
          <w:bCs/>
          <w:i/>
          <w:iCs/>
          <w:szCs w:val="24"/>
        </w:rPr>
        <w:t>fee structures are generally disclosable under FOIA. If Responder claims that any fee or pricing information qualifies for an exemption under FOIA, Responder must submit its legal analysis with the redacted version of its RFP response.</w:t>
      </w:r>
      <w:r w:rsidR="00FC5221" w:rsidRPr="000E2FEE">
        <w:rPr>
          <w:b/>
          <w:szCs w:val="24"/>
        </w:rPr>
        <w:t xml:space="preserve"> </w:t>
      </w:r>
    </w:p>
    <w:p w14:paraId="046CB4ED" w14:textId="77777777" w:rsidR="00FC5221" w:rsidRPr="000E2FEE" w:rsidRDefault="00FC5221" w:rsidP="00FC5221">
      <w:pPr>
        <w:autoSpaceDE w:val="0"/>
        <w:autoSpaceDN w:val="0"/>
        <w:adjustRightInd w:val="0"/>
        <w:jc w:val="both"/>
        <w:rPr>
          <w:b/>
          <w:szCs w:val="24"/>
        </w:rPr>
      </w:pPr>
    </w:p>
    <w:p w14:paraId="59659414" w14:textId="6D1F7F6D" w:rsidR="00C2462F" w:rsidRPr="000E2FEE" w:rsidRDefault="00FC5221" w:rsidP="00FC5221">
      <w:pPr>
        <w:autoSpaceDE w:val="0"/>
        <w:autoSpaceDN w:val="0"/>
        <w:adjustRightInd w:val="0"/>
        <w:jc w:val="both"/>
        <w:rPr>
          <w:szCs w:val="24"/>
          <w:u w:val="single"/>
        </w:rPr>
      </w:pPr>
      <w:r w:rsidRPr="000E2FEE">
        <w:rPr>
          <w:b/>
          <w:szCs w:val="24"/>
          <w:u w:val="single"/>
        </w:rPr>
        <w:t xml:space="preserve">A RESPONDER’S FAILURE TO PROVIDE A REDACTED VERSION OF </w:t>
      </w:r>
      <w:r w:rsidR="00F86749">
        <w:rPr>
          <w:b/>
          <w:szCs w:val="24"/>
          <w:u w:val="single"/>
        </w:rPr>
        <w:t>ITS</w:t>
      </w:r>
      <w:r w:rsidRPr="000E2FEE">
        <w:rPr>
          <w:b/>
          <w:szCs w:val="24"/>
          <w:u w:val="single"/>
        </w:rPr>
        <w:t xml:space="preserve"> RFP </w:t>
      </w:r>
      <w:r w:rsidR="00F86749">
        <w:rPr>
          <w:b/>
          <w:szCs w:val="24"/>
          <w:u w:val="single"/>
        </w:rPr>
        <w:t xml:space="preserve">RESPONSE </w:t>
      </w:r>
      <w:r w:rsidRPr="000E2FEE">
        <w:rPr>
          <w:b/>
          <w:szCs w:val="24"/>
          <w:u w:val="single"/>
        </w:rPr>
        <w:t>WILL RESULT IN SURS DISCLOSING THE RESPONDER’S ENTIRE RFP RESPONSE IF THE SAME IS REQUESTED UNDER THE ILLINOIS F</w:t>
      </w:r>
      <w:r w:rsidR="00F86749">
        <w:rPr>
          <w:b/>
          <w:szCs w:val="24"/>
          <w:u w:val="single"/>
        </w:rPr>
        <w:t xml:space="preserve">REEDOM </w:t>
      </w:r>
      <w:r w:rsidRPr="000E2FEE">
        <w:rPr>
          <w:b/>
          <w:szCs w:val="24"/>
          <w:u w:val="single"/>
        </w:rPr>
        <w:t>O</w:t>
      </w:r>
      <w:r w:rsidR="00F86749">
        <w:rPr>
          <w:b/>
          <w:szCs w:val="24"/>
          <w:u w:val="single"/>
        </w:rPr>
        <w:t xml:space="preserve">F </w:t>
      </w:r>
      <w:r w:rsidRPr="000E2FEE">
        <w:rPr>
          <w:b/>
          <w:szCs w:val="24"/>
          <w:u w:val="single"/>
        </w:rPr>
        <w:t>I</w:t>
      </w:r>
      <w:r w:rsidR="00F86749">
        <w:rPr>
          <w:b/>
          <w:szCs w:val="24"/>
          <w:u w:val="single"/>
        </w:rPr>
        <w:t xml:space="preserve">NFORMATION </w:t>
      </w:r>
      <w:r w:rsidRPr="000E2FEE">
        <w:rPr>
          <w:b/>
          <w:szCs w:val="24"/>
          <w:u w:val="single"/>
        </w:rPr>
        <w:t>A</w:t>
      </w:r>
      <w:r w:rsidR="00F86749">
        <w:rPr>
          <w:b/>
          <w:szCs w:val="24"/>
          <w:u w:val="single"/>
        </w:rPr>
        <w:t>CT.</w:t>
      </w:r>
      <w:r w:rsidRPr="000E2FEE">
        <w:rPr>
          <w:b/>
          <w:szCs w:val="24"/>
          <w:u w:val="single"/>
        </w:rPr>
        <w:t xml:space="preserve"> NEITHER THE RESPONDER NOR ANY THIRD PARTIES SHALL HAVE ANY RECOURSE AGAINST SURS FOR ITS DISCLOSURE OF THE NON-REDACTED RFP RESPONSE.  </w:t>
      </w:r>
      <w:r w:rsidRPr="000E2FEE">
        <w:rPr>
          <w:szCs w:val="24"/>
          <w:u w:val="single"/>
        </w:rPr>
        <w:t xml:space="preserve"> </w:t>
      </w:r>
    </w:p>
    <w:p w14:paraId="28EEB502" w14:textId="77777777" w:rsidR="00C2462F" w:rsidRPr="000E2FEE" w:rsidRDefault="00C2462F" w:rsidP="005437C5">
      <w:pPr>
        <w:jc w:val="both"/>
        <w:rPr>
          <w:b/>
          <w:bCs/>
        </w:rPr>
      </w:pPr>
    </w:p>
    <w:p w14:paraId="42A731C6" w14:textId="77777777" w:rsidR="001007D0" w:rsidRDefault="001007D0" w:rsidP="005437C5">
      <w:pPr>
        <w:jc w:val="both"/>
        <w:rPr>
          <w:b/>
          <w:bCs/>
        </w:rPr>
      </w:pPr>
    </w:p>
    <w:p w14:paraId="1BCA6CE1" w14:textId="77777777" w:rsidR="001007D0" w:rsidRDefault="001007D0" w:rsidP="005437C5">
      <w:pPr>
        <w:jc w:val="both"/>
        <w:rPr>
          <w:b/>
          <w:bCs/>
        </w:rPr>
      </w:pPr>
    </w:p>
    <w:p w14:paraId="3A448F33" w14:textId="77777777" w:rsidR="001007D0" w:rsidRDefault="001007D0" w:rsidP="005437C5">
      <w:pPr>
        <w:jc w:val="both"/>
        <w:rPr>
          <w:b/>
          <w:bCs/>
        </w:rPr>
      </w:pPr>
    </w:p>
    <w:p w14:paraId="68A2DD39" w14:textId="3FBFC064" w:rsidR="005437C5" w:rsidRPr="000E2FEE" w:rsidRDefault="005437C5" w:rsidP="005437C5">
      <w:pPr>
        <w:jc w:val="both"/>
        <w:rPr>
          <w:b/>
          <w:bCs/>
        </w:rPr>
      </w:pPr>
      <w:r w:rsidRPr="000E2FEE">
        <w:rPr>
          <w:b/>
          <w:bCs/>
        </w:rPr>
        <w:t xml:space="preserve">However, </w:t>
      </w:r>
      <w:r w:rsidR="00C2462F" w:rsidRPr="000E2FEE">
        <w:rPr>
          <w:b/>
          <w:bCs/>
        </w:rPr>
        <w:t xml:space="preserve">any </w:t>
      </w:r>
      <w:r w:rsidRPr="000E2FEE">
        <w:rPr>
          <w:b/>
          <w:bCs/>
        </w:rPr>
        <w:t xml:space="preserve">claim </w:t>
      </w:r>
      <w:r w:rsidR="00317F95" w:rsidRPr="000E2FEE">
        <w:rPr>
          <w:b/>
          <w:bCs/>
        </w:rPr>
        <w:t xml:space="preserve">of privilege </w:t>
      </w:r>
      <w:r w:rsidR="00C2462F" w:rsidRPr="000E2FEE">
        <w:rPr>
          <w:b/>
          <w:bCs/>
        </w:rPr>
        <w:t xml:space="preserve">from disclosure is </w:t>
      </w:r>
      <w:r w:rsidRPr="000E2FEE">
        <w:rPr>
          <w:b/>
          <w:bCs/>
        </w:rPr>
        <w:t xml:space="preserve">not definitive.  SURS has the right and </w:t>
      </w:r>
      <w:r w:rsidR="00C2462F" w:rsidRPr="000E2FEE">
        <w:rPr>
          <w:b/>
          <w:bCs/>
        </w:rPr>
        <w:t xml:space="preserve">legal </w:t>
      </w:r>
      <w:r w:rsidRPr="000E2FEE">
        <w:rPr>
          <w:b/>
          <w:bCs/>
        </w:rPr>
        <w:t>obligation to determine whether such information is exempt form disclosure under the Illinois Freedom of Information Act and no information will be considered or determined by SURS to be proprietary, privileged or confidential unless it is identified and separated as indicated herein.</w:t>
      </w:r>
      <w:r w:rsidRPr="000E2FEE">
        <w:t xml:space="preserve">  </w:t>
      </w:r>
      <w:r w:rsidRPr="000E2FEE">
        <w:rPr>
          <w:b/>
          <w:bCs/>
        </w:rPr>
        <w:t> (5 ILCS 140/7 and 7.5)</w:t>
      </w:r>
    </w:p>
    <w:p w14:paraId="4B0DC932" w14:textId="77777777" w:rsidR="00C2462F" w:rsidRPr="000E2FEE" w:rsidRDefault="00C2462F" w:rsidP="005437C5">
      <w:pPr>
        <w:jc w:val="both"/>
        <w:rPr>
          <w:b/>
          <w:bCs/>
        </w:rPr>
      </w:pPr>
    </w:p>
    <w:p w14:paraId="6AEC55CF" w14:textId="542EA19C" w:rsidR="009C1DE5" w:rsidRPr="000E2FEE" w:rsidRDefault="009C1DE5" w:rsidP="005437C5">
      <w:pPr>
        <w:jc w:val="both"/>
        <w:rPr>
          <w:b/>
          <w:bCs/>
          <w:u w:val="single"/>
        </w:rPr>
      </w:pPr>
      <w:r w:rsidRPr="000E2FEE">
        <w:rPr>
          <w:b/>
          <w:bCs/>
          <w:u w:val="single"/>
        </w:rPr>
        <w:t>Ordinary Course of Business Communications Allowed:</w:t>
      </w:r>
    </w:p>
    <w:p w14:paraId="07A4CD74" w14:textId="77777777" w:rsidR="00861940" w:rsidRPr="000E2FEE" w:rsidRDefault="00861940" w:rsidP="00861940">
      <w:pPr>
        <w:pStyle w:val="BodyTextIndent"/>
        <w:spacing w:after="0"/>
        <w:ind w:left="0"/>
        <w:jc w:val="left"/>
        <w:rPr>
          <w:szCs w:val="24"/>
        </w:rPr>
      </w:pPr>
    </w:p>
    <w:p w14:paraId="586A9A4E" w14:textId="0C21C403" w:rsidR="009C1DE5" w:rsidRPr="000E2FEE" w:rsidRDefault="00861940" w:rsidP="00D223A5">
      <w:pPr>
        <w:pStyle w:val="BodyTextIndent"/>
        <w:spacing w:after="0"/>
        <w:ind w:left="0"/>
        <w:jc w:val="both"/>
        <w:rPr>
          <w:szCs w:val="24"/>
        </w:rPr>
      </w:pPr>
      <w:r w:rsidRPr="000E2FEE">
        <w:rPr>
          <w:szCs w:val="24"/>
        </w:rPr>
        <w:t>Other than existing normal business matters, respondents, potential respondents, or their representatives should not contact anyone at SURS (including SURS staff, members of the SURS advisory committees and members of the SU</w:t>
      </w:r>
      <w:r w:rsidR="00846AB7" w:rsidRPr="000E2FEE">
        <w:rPr>
          <w:szCs w:val="24"/>
        </w:rPr>
        <w:t>RS Board) other than the SURS procurement officer as referenced herein.</w:t>
      </w:r>
      <w:r w:rsidR="00D223A5" w:rsidRPr="000E2FEE">
        <w:rPr>
          <w:szCs w:val="24"/>
        </w:rPr>
        <w:t xml:space="preserve">  </w:t>
      </w:r>
      <w:r w:rsidRPr="000E2FEE">
        <w:rPr>
          <w:szCs w:val="24"/>
        </w:rPr>
        <w:t>In addition, respondents must not discuss this</w:t>
      </w:r>
      <w:r w:rsidR="00C71CCF" w:rsidRPr="000E2FEE">
        <w:rPr>
          <w:szCs w:val="24"/>
        </w:rPr>
        <w:t xml:space="preserve"> RFP with any employee of SURS’</w:t>
      </w:r>
      <w:r w:rsidRPr="000E2FEE">
        <w:rPr>
          <w:szCs w:val="24"/>
        </w:rPr>
        <w:t xml:space="preserve"> custodian, managers, legal counsel, or other advisors or persons/entities having contracts or other affiliations with SURS. </w:t>
      </w:r>
    </w:p>
    <w:p w14:paraId="62D66DC5" w14:textId="77777777" w:rsidR="008C183C" w:rsidRPr="000E2FEE" w:rsidRDefault="008C183C" w:rsidP="00F25937">
      <w:pPr>
        <w:tabs>
          <w:tab w:val="left" w:pos="-1080"/>
          <w:tab w:val="left" w:pos="-720"/>
          <w:tab w:val="left" w:pos="0"/>
          <w:tab w:val="left" w:pos="450"/>
          <w:tab w:val="left" w:pos="1350"/>
          <w:tab w:val="left" w:pos="2880"/>
        </w:tabs>
        <w:jc w:val="left"/>
        <w:rPr>
          <w:b/>
          <w:u w:val="single"/>
        </w:rPr>
      </w:pPr>
    </w:p>
    <w:p w14:paraId="1AEB5CA2" w14:textId="26CDA29F" w:rsidR="0053403C" w:rsidRDefault="0053403C">
      <w:pPr>
        <w:spacing w:after="200" w:line="276" w:lineRule="auto"/>
        <w:jc w:val="left"/>
        <w:rPr>
          <w:b/>
          <w:u w:val="single"/>
        </w:rPr>
      </w:pPr>
    </w:p>
    <w:p w14:paraId="00EDCE42" w14:textId="5FCEC869" w:rsidR="00F25937" w:rsidRPr="000E2FEE" w:rsidRDefault="00F25937" w:rsidP="00F25937">
      <w:pPr>
        <w:tabs>
          <w:tab w:val="left" w:pos="-1080"/>
          <w:tab w:val="left" w:pos="-720"/>
          <w:tab w:val="left" w:pos="0"/>
          <w:tab w:val="left" w:pos="450"/>
          <w:tab w:val="left" w:pos="1350"/>
          <w:tab w:val="left" w:pos="2880"/>
        </w:tabs>
        <w:jc w:val="left"/>
      </w:pPr>
      <w:r w:rsidRPr="000E2FEE">
        <w:rPr>
          <w:b/>
          <w:u w:val="single"/>
        </w:rPr>
        <w:t>SURS Quiet Period</w:t>
      </w:r>
      <w:r w:rsidRPr="000E2FEE">
        <w:rPr>
          <w:u w:val="single"/>
        </w:rPr>
        <w:t xml:space="preserve"> </w:t>
      </w:r>
      <w:r w:rsidRPr="000E2FEE">
        <w:rPr>
          <w:b/>
          <w:u w:val="single"/>
        </w:rPr>
        <w:t>Policy</w:t>
      </w:r>
      <w:r w:rsidRPr="000E2FEE">
        <w:t xml:space="preserve">: </w:t>
      </w:r>
    </w:p>
    <w:p w14:paraId="3E0E61FD" w14:textId="00BEA657" w:rsidR="00F25937" w:rsidRPr="000E2FEE" w:rsidRDefault="00F25937" w:rsidP="00F25937">
      <w:pPr>
        <w:jc w:val="both"/>
        <w:rPr>
          <w:rFonts w:eastAsia="Times New Roman"/>
          <w:snapToGrid w:val="0"/>
          <w:color w:val="000000"/>
          <w:szCs w:val="24"/>
        </w:rPr>
      </w:pPr>
      <w:r w:rsidRPr="000E2FEE">
        <w:rPr>
          <w:rFonts w:eastAsia="Times New Roman"/>
          <w:snapToGrid w:val="0"/>
          <w:color w:val="000000"/>
          <w:szCs w:val="24"/>
        </w:rPr>
        <w:t xml:space="preserve">Please note the following Quiet Period Policy establishing guidelines by which the SURS Board of Trustees and SURS Staff will communicate with prospective service providers during a search process. </w:t>
      </w:r>
      <w:r w:rsidRPr="000E2FEE">
        <w:rPr>
          <w:rFonts w:eastAsia="Times New Roman"/>
          <w:b/>
          <w:snapToGrid w:val="0"/>
          <w:color w:val="000000"/>
          <w:szCs w:val="24"/>
        </w:rPr>
        <w:t xml:space="preserve">The Quiet Period for this RFP </w:t>
      </w:r>
      <w:r w:rsidR="00AC447F" w:rsidRPr="000E2FEE">
        <w:rPr>
          <w:rFonts w:eastAsia="Times New Roman"/>
          <w:b/>
          <w:snapToGrid w:val="0"/>
          <w:color w:val="000000"/>
          <w:szCs w:val="24"/>
        </w:rPr>
        <w:t xml:space="preserve">begins on </w:t>
      </w:r>
      <w:r w:rsidR="000E2FEE" w:rsidRPr="000E2FEE">
        <w:rPr>
          <w:rFonts w:eastAsia="Times New Roman"/>
          <w:b/>
          <w:snapToGrid w:val="0"/>
          <w:color w:val="000000"/>
          <w:szCs w:val="24"/>
        </w:rPr>
        <w:t>January</w:t>
      </w:r>
      <w:r w:rsidR="003E2982" w:rsidRPr="000E2FEE">
        <w:rPr>
          <w:rFonts w:eastAsia="Times New Roman"/>
          <w:b/>
          <w:snapToGrid w:val="0"/>
          <w:color w:val="000000"/>
          <w:szCs w:val="24"/>
        </w:rPr>
        <w:t xml:space="preserve"> </w:t>
      </w:r>
      <w:r w:rsidR="00730101">
        <w:rPr>
          <w:rFonts w:eastAsia="Times New Roman"/>
          <w:b/>
          <w:snapToGrid w:val="0"/>
          <w:color w:val="000000"/>
          <w:szCs w:val="24"/>
        </w:rPr>
        <w:t>17</w:t>
      </w:r>
      <w:r w:rsidR="00182BCA" w:rsidRPr="000E2FEE">
        <w:rPr>
          <w:rFonts w:eastAsia="Times New Roman"/>
          <w:b/>
          <w:snapToGrid w:val="0"/>
          <w:color w:val="000000"/>
          <w:szCs w:val="24"/>
        </w:rPr>
        <w:t>, 20</w:t>
      </w:r>
      <w:r w:rsidR="000E2FEE" w:rsidRPr="000E2FEE">
        <w:rPr>
          <w:rFonts w:eastAsia="Times New Roman"/>
          <w:b/>
          <w:snapToGrid w:val="0"/>
          <w:color w:val="000000"/>
          <w:szCs w:val="24"/>
        </w:rPr>
        <w:t>20</w:t>
      </w:r>
      <w:r w:rsidRPr="000E2FEE">
        <w:rPr>
          <w:rFonts w:eastAsia="Times New Roman"/>
          <w:b/>
          <w:snapToGrid w:val="0"/>
          <w:color w:val="000000"/>
          <w:szCs w:val="24"/>
        </w:rPr>
        <w:t>.</w:t>
      </w:r>
    </w:p>
    <w:p w14:paraId="48D2009A" w14:textId="77777777" w:rsidR="00F25937" w:rsidRPr="000E2FEE" w:rsidRDefault="00F25937" w:rsidP="00F25937">
      <w:pPr>
        <w:jc w:val="both"/>
        <w:rPr>
          <w:rFonts w:eastAsia="Times New Roman"/>
          <w:snapToGrid w:val="0"/>
          <w:color w:val="000000"/>
          <w:szCs w:val="24"/>
        </w:rPr>
      </w:pPr>
    </w:p>
    <w:p w14:paraId="4D7EED5F" w14:textId="77777777" w:rsidR="00DF51B1" w:rsidRPr="000E2FEE" w:rsidRDefault="00DF51B1" w:rsidP="00DF51B1">
      <w:pPr>
        <w:pStyle w:val="BodyText2"/>
        <w:numPr>
          <w:ilvl w:val="1"/>
          <w:numId w:val="25"/>
        </w:numPr>
        <w:autoSpaceDE w:val="0"/>
        <w:autoSpaceDN w:val="0"/>
      </w:pPr>
      <w:r w:rsidRPr="000E2FEE">
        <w:t>A Quiet Period will commence upon issuance of an RFP and end once a selection has been made by the Board and the completion of successful contract negotiations with a respondent;</w:t>
      </w:r>
    </w:p>
    <w:p w14:paraId="19652D08" w14:textId="77777777" w:rsidR="00DF51B1" w:rsidRPr="000E2FEE" w:rsidRDefault="00DF51B1" w:rsidP="00DF51B1">
      <w:pPr>
        <w:pStyle w:val="BodyText2"/>
        <w:numPr>
          <w:ilvl w:val="1"/>
          <w:numId w:val="25"/>
        </w:numPr>
        <w:autoSpaceDE w:val="0"/>
        <w:autoSpaceDN w:val="0"/>
      </w:pPr>
      <w:r w:rsidRPr="000E2FEE">
        <w:t>Initiation, continuation and conclusion of the Quiet Period shall be publicly communicated to prevent inadvertent violations;</w:t>
      </w:r>
    </w:p>
    <w:p w14:paraId="597D4560" w14:textId="77777777" w:rsidR="00DF51B1" w:rsidRPr="000E2FEE" w:rsidRDefault="00DF51B1" w:rsidP="00DF51B1">
      <w:pPr>
        <w:pStyle w:val="BodyText2"/>
        <w:numPr>
          <w:ilvl w:val="1"/>
          <w:numId w:val="25"/>
        </w:numPr>
        <w:autoSpaceDE w:val="0"/>
        <w:autoSpaceDN w:val="0"/>
      </w:pPr>
      <w:r w:rsidRPr="000E2FEE">
        <w:t>All Board members, and Staff other than those directly involved in the search or the Chief Procurement Officer or their designee, shall refrain from communicating with respondents regarding any product or service related to the search in process. All Board members and Staff shall refrain from accepting meals, travel, hotel, or other value from such respondents;</w:t>
      </w:r>
    </w:p>
    <w:p w14:paraId="35DB59EE" w14:textId="77777777" w:rsidR="00DF51B1" w:rsidRPr="000E2FEE" w:rsidRDefault="00DF51B1" w:rsidP="00DF51B1">
      <w:pPr>
        <w:pStyle w:val="BodyText2"/>
        <w:numPr>
          <w:ilvl w:val="1"/>
          <w:numId w:val="25"/>
        </w:numPr>
        <w:autoSpaceDE w:val="0"/>
        <w:autoSpaceDN w:val="0"/>
      </w:pPr>
      <w:r w:rsidRPr="000E2FEE">
        <w:t>Throughout the Quiet Period, if any Board member is contacted by a respondent, the Board member shall refer such party to the Chief Procurement Officer;</w:t>
      </w:r>
    </w:p>
    <w:p w14:paraId="3B15C213" w14:textId="77777777" w:rsidR="00DF51B1" w:rsidRPr="000E2FEE" w:rsidRDefault="00DF51B1" w:rsidP="00DF51B1">
      <w:pPr>
        <w:pStyle w:val="BodyText2"/>
        <w:numPr>
          <w:ilvl w:val="1"/>
          <w:numId w:val="25"/>
        </w:numPr>
        <w:autoSpaceDE w:val="0"/>
        <w:autoSpaceDN w:val="0"/>
      </w:pPr>
      <w:r w:rsidRPr="000E2FEE">
        <w:t>All authority related to the search process shall be exercised solely by the Investment Committee or Board as a whole, and not by individual Board members;</w:t>
      </w:r>
    </w:p>
    <w:p w14:paraId="4CC318BC" w14:textId="77777777" w:rsidR="00DF51B1" w:rsidRPr="000E2FEE" w:rsidRDefault="00DF51B1" w:rsidP="00DF51B1">
      <w:pPr>
        <w:pStyle w:val="BodyText2"/>
        <w:numPr>
          <w:ilvl w:val="1"/>
          <w:numId w:val="25"/>
        </w:numPr>
        <w:autoSpaceDE w:val="0"/>
        <w:autoSpaceDN w:val="0"/>
      </w:pPr>
      <w:r w:rsidRPr="000E2FEE">
        <w:t>The Quiet Period does not prevent Board approved due diligence, client conference attendance or communications with an existing vendor; provided, however, that discussions related to the procurement and pending selection shall be avoided during those activities;</w:t>
      </w:r>
    </w:p>
    <w:p w14:paraId="7398C939" w14:textId="77777777" w:rsidR="00DF51B1" w:rsidRPr="000E2FEE" w:rsidRDefault="00DF51B1" w:rsidP="00DF51B1">
      <w:pPr>
        <w:pStyle w:val="BodyText2"/>
        <w:numPr>
          <w:ilvl w:val="1"/>
          <w:numId w:val="25"/>
        </w:numPr>
        <w:autoSpaceDE w:val="0"/>
        <w:autoSpaceDN w:val="0"/>
      </w:pPr>
      <w:r w:rsidRPr="000E2FEE">
        <w:t>The provisions of this Policy shall apply throughout the Quiet Period and shall be communicated to respondents in conjunction with any search; and</w:t>
      </w:r>
    </w:p>
    <w:p w14:paraId="476C833F" w14:textId="77777777" w:rsidR="00DF51B1" w:rsidRPr="000E2FEE" w:rsidRDefault="00DF51B1" w:rsidP="00DF51B1">
      <w:pPr>
        <w:pStyle w:val="topicarea"/>
        <w:widowControl/>
        <w:numPr>
          <w:ilvl w:val="1"/>
          <w:numId w:val="25"/>
        </w:numPr>
        <w:tabs>
          <w:tab w:val="left" w:pos="450"/>
        </w:tabs>
        <w:rPr>
          <w:rFonts w:ascii="Times New Roman" w:hAnsi="Times New Roman" w:cs="Times New Roman"/>
        </w:rPr>
      </w:pPr>
      <w:r w:rsidRPr="000E2FEE">
        <w:rPr>
          <w:rFonts w:ascii="Times New Roman" w:hAnsi="Times New Roman" w:cs="Times New Roman"/>
          <w:b w:val="0"/>
          <w:sz w:val="24"/>
        </w:rPr>
        <w:t>A respondent may be disqualified from a search process for a violation of the Quiet Period or any portion of this Policy.</w:t>
      </w:r>
    </w:p>
    <w:p w14:paraId="0DA7F911" w14:textId="3B5881F8" w:rsidR="00AC447F" w:rsidRPr="000E2FEE" w:rsidRDefault="00AC447F" w:rsidP="00DF51B1">
      <w:pPr>
        <w:tabs>
          <w:tab w:val="left" w:pos="450"/>
        </w:tabs>
        <w:autoSpaceDE w:val="0"/>
        <w:autoSpaceDN w:val="0"/>
        <w:ind w:left="720"/>
        <w:jc w:val="both"/>
        <w:rPr>
          <w:rFonts w:eastAsia="Times New Roman"/>
          <w:b/>
          <w:bCs/>
          <w:sz w:val="24"/>
          <w:szCs w:val="24"/>
        </w:rPr>
      </w:pPr>
    </w:p>
    <w:p w14:paraId="000AB6E7" w14:textId="77777777" w:rsidR="00F25937" w:rsidRPr="000E2FEE" w:rsidRDefault="00F25937" w:rsidP="00F25937">
      <w:pPr>
        <w:tabs>
          <w:tab w:val="left" w:pos="-1080"/>
          <w:tab w:val="left" w:pos="-720"/>
          <w:tab w:val="left" w:pos="0"/>
          <w:tab w:val="left" w:pos="450"/>
          <w:tab w:val="left" w:pos="1350"/>
          <w:tab w:val="left" w:pos="2880"/>
        </w:tabs>
        <w:jc w:val="left"/>
        <w:rPr>
          <w:u w:val="single"/>
        </w:rPr>
      </w:pPr>
    </w:p>
    <w:p w14:paraId="0A0CBBCF" w14:textId="77777777" w:rsidR="001007D0" w:rsidRDefault="001007D0" w:rsidP="00F25937">
      <w:pPr>
        <w:tabs>
          <w:tab w:val="left" w:pos="-1080"/>
          <w:tab w:val="left" w:pos="-720"/>
          <w:tab w:val="left" w:pos="0"/>
          <w:tab w:val="left" w:pos="450"/>
          <w:tab w:val="left" w:pos="1350"/>
          <w:tab w:val="left" w:pos="2880"/>
        </w:tabs>
        <w:jc w:val="left"/>
        <w:rPr>
          <w:b/>
          <w:u w:val="single"/>
        </w:rPr>
      </w:pPr>
    </w:p>
    <w:p w14:paraId="452FF77D" w14:textId="77777777" w:rsidR="001007D0" w:rsidRDefault="001007D0" w:rsidP="00F25937">
      <w:pPr>
        <w:tabs>
          <w:tab w:val="left" w:pos="-1080"/>
          <w:tab w:val="left" w:pos="-720"/>
          <w:tab w:val="left" w:pos="0"/>
          <w:tab w:val="left" w:pos="450"/>
          <w:tab w:val="left" w:pos="1350"/>
          <w:tab w:val="left" w:pos="2880"/>
        </w:tabs>
        <w:jc w:val="left"/>
        <w:rPr>
          <w:b/>
          <w:u w:val="single"/>
        </w:rPr>
      </w:pPr>
    </w:p>
    <w:p w14:paraId="2855D415" w14:textId="77777777" w:rsidR="001007D0" w:rsidRDefault="001007D0" w:rsidP="00F25937">
      <w:pPr>
        <w:tabs>
          <w:tab w:val="left" w:pos="-1080"/>
          <w:tab w:val="left" w:pos="-720"/>
          <w:tab w:val="left" w:pos="0"/>
          <w:tab w:val="left" w:pos="450"/>
          <w:tab w:val="left" w:pos="1350"/>
          <w:tab w:val="left" w:pos="2880"/>
        </w:tabs>
        <w:jc w:val="left"/>
        <w:rPr>
          <w:b/>
          <w:u w:val="single"/>
        </w:rPr>
      </w:pPr>
    </w:p>
    <w:p w14:paraId="02150246" w14:textId="77777777" w:rsidR="001007D0" w:rsidRDefault="001007D0" w:rsidP="00F25937">
      <w:pPr>
        <w:tabs>
          <w:tab w:val="left" w:pos="-1080"/>
          <w:tab w:val="left" w:pos="-720"/>
          <w:tab w:val="left" w:pos="0"/>
          <w:tab w:val="left" w:pos="450"/>
          <w:tab w:val="left" w:pos="1350"/>
          <w:tab w:val="left" w:pos="2880"/>
        </w:tabs>
        <w:jc w:val="left"/>
        <w:rPr>
          <w:b/>
          <w:u w:val="single"/>
        </w:rPr>
      </w:pPr>
    </w:p>
    <w:p w14:paraId="36177876" w14:textId="7FB5F215" w:rsidR="00F25937" w:rsidRPr="000E2FEE" w:rsidRDefault="00F25937" w:rsidP="00F25937">
      <w:pPr>
        <w:tabs>
          <w:tab w:val="left" w:pos="-1080"/>
          <w:tab w:val="left" w:pos="-720"/>
          <w:tab w:val="left" w:pos="0"/>
          <w:tab w:val="left" w:pos="450"/>
          <w:tab w:val="left" w:pos="1350"/>
          <w:tab w:val="left" w:pos="2880"/>
        </w:tabs>
        <w:jc w:val="left"/>
      </w:pPr>
      <w:r w:rsidRPr="000E2FEE">
        <w:rPr>
          <w:b/>
          <w:u w:val="single"/>
        </w:rPr>
        <w:t>Ex-Parte Communications</w:t>
      </w:r>
      <w:r w:rsidRPr="000E2FEE">
        <w:t>:</w:t>
      </w:r>
    </w:p>
    <w:p w14:paraId="3D7517B7" w14:textId="77777777" w:rsidR="00F25937" w:rsidRPr="000E2FEE" w:rsidRDefault="00F25937" w:rsidP="00F25937">
      <w:pPr>
        <w:tabs>
          <w:tab w:val="left" w:pos="-1080"/>
          <w:tab w:val="left" w:pos="-720"/>
          <w:tab w:val="left" w:pos="0"/>
          <w:tab w:val="left" w:pos="450"/>
          <w:tab w:val="left" w:pos="1350"/>
          <w:tab w:val="left" w:pos="2880"/>
        </w:tabs>
        <w:jc w:val="left"/>
      </w:pPr>
    </w:p>
    <w:p w14:paraId="501BAE95" w14:textId="77777777" w:rsidR="00F25937" w:rsidRPr="000E2FEE" w:rsidRDefault="00F25937" w:rsidP="00F25937">
      <w:pPr>
        <w:jc w:val="both"/>
        <w:rPr>
          <w:rFonts w:eastAsia="Times New Roman"/>
          <w:snapToGrid w:val="0"/>
          <w:color w:val="000000"/>
          <w:szCs w:val="24"/>
        </w:rPr>
      </w:pPr>
      <w:r w:rsidRPr="000E2FEE">
        <w:rPr>
          <w:rFonts w:eastAsia="Times New Roman"/>
          <w:snapToGrid w:val="0"/>
          <w:color w:val="000000"/>
          <w:szCs w:val="24"/>
        </w:rPr>
        <w:t>The State Officials and Employees Ethics Act (5 ILCS 430) provides that all “ex parte communications” concerning investment, rulemaking or quasi-adjudicatory matters pending before a state agency must be documented and some must be reported.  An “ex parte communication” is any written or oral communication by any person that imparts or requests material information or makes a material argument regarding potential action concerning an investment, a rulemaking process, or a quasi-adjudicatory matter.  An “ex parte communication” does not include statements publicly made in a public forum or communications among employees of the state agency.</w:t>
      </w:r>
    </w:p>
    <w:p w14:paraId="51056192" w14:textId="77777777" w:rsidR="00F25937" w:rsidRPr="000E2FEE" w:rsidRDefault="00F25937" w:rsidP="00F25937">
      <w:pPr>
        <w:jc w:val="both"/>
        <w:rPr>
          <w:rFonts w:eastAsia="Times New Roman"/>
          <w:b/>
          <w:snapToGrid w:val="0"/>
          <w:color w:val="000000"/>
          <w:szCs w:val="24"/>
        </w:rPr>
      </w:pPr>
    </w:p>
    <w:p w14:paraId="567CF6E7" w14:textId="77777777" w:rsidR="00F25937" w:rsidRPr="000E2FEE" w:rsidRDefault="00F25937" w:rsidP="00F25937">
      <w:pPr>
        <w:jc w:val="both"/>
        <w:rPr>
          <w:rFonts w:eastAsia="Times New Roman"/>
          <w:b/>
          <w:snapToGrid w:val="0"/>
          <w:color w:val="000000"/>
          <w:szCs w:val="24"/>
        </w:rPr>
      </w:pPr>
      <w:r w:rsidRPr="000E2FEE">
        <w:rPr>
          <w:rFonts w:eastAsia="Times New Roman"/>
          <w:b/>
          <w:snapToGrid w:val="0"/>
          <w:color w:val="000000"/>
          <w:szCs w:val="24"/>
        </w:rPr>
        <w:t>An “ex parte communication” from an “interested party” or his or her official representative or attorney to an employee or the agency must be memorialized and made a part of the record.  An “interested party” is a person or entity whose rights, privileges, or interests are the subject of or are directly affected by an investment, regulatory or quasi-adjudicatory matter.</w:t>
      </w:r>
    </w:p>
    <w:p w14:paraId="1318E618" w14:textId="77777777" w:rsidR="00F25937" w:rsidRPr="000E2FEE" w:rsidRDefault="00F25937" w:rsidP="00F25937">
      <w:pPr>
        <w:jc w:val="both"/>
        <w:rPr>
          <w:rFonts w:eastAsia="Times New Roman"/>
          <w:b/>
          <w:snapToGrid w:val="0"/>
          <w:color w:val="000000"/>
          <w:szCs w:val="24"/>
        </w:rPr>
      </w:pPr>
    </w:p>
    <w:p w14:paraId="3D3FE8F5" w14:textId="77777777" w:rsidR="00F25937" w:rsidRPr="000E2FEE" w:rsidRDefault="00F25937" w:rsidP="00F25937">
      <w:pPr>
        <w:jc w:val="both"/>
        <w:rPr>
          <w:rFonts w:eastAsia="Times New Roman"/>
          <w:b/>
          <w:i/>
          <w:snapToGrid w:val="0"/>
          <w:color w:val="000000"/>
          <w:szCs w:val="24"/>
        </w:rPr>
      </w:pPr>
      <w:r w:rsidRPr="000E2FEE">
        <w:rPr>
          <w:rFonts w:eastAsia="Times New Roman"/>
          <w:b/>
          <w:snapToGrid w:val="0"/>
          <w:color w:val="000000"/>
          <w:szCs w:val="24"/>
        </w:rPr>
        <w:t>An “ex parte communication” other than that described above must be reported by the SURS staff member or Board Trustee immediately to the agency’s Ethics Officer.  The communication must be memorialized and made a part of the record.  The communication must be filed with the Executive Ethics Commission, accompanied by a memorandum from the Ethics Officer.</w:t>
      </w:r>
    </w:p>
    <w:p w14:paraId="23D34686" w14:textId="72140852" w:rsidR="00F25937" w:rsidRPr="000E2FEE" w:rsidRDefault="00F25937" w:rsidP="00F25937">
      <w:pPr>
        <w:tabs>
          <w:tab w:val="left" w:pos="-1080"/>
          <w:tab w:val="left" w:pos="-720"/>
          <w:tab w:val="left" w:pos="0"/>
          <w:tab w:val="left" w:pos="450"/>
          <w:tab w:val="left" w:pos="1350"/>
          <w:tab w:val="left" w:pos="2880"/>
        </w:tabs>
        <w:jc w:val="left"/>
        <w:rPr>
          <w:rFonts w:eastAsia="Times New Roman"/>
          <w:snapToGrid w:val="0"/>
          <w:color w:val="000000"/>
          <w:szCs w:val="28"/>
        </w:rPr>
      </w:pPr>
      <w:r w:rsidRPr="000E2FEE">
        <w:rPr>
          <w:rFonts w:eastAsia="Times New Roman"/>
          <w:b/>
          <w:snapToGrid w:val="0"/>
          <w:color w:val="000000"/>
          <w:szCs w:val="28"/>
          <w:u w:val="single"/>
        </w:rPr>
        <w:t>Rights Reserved</w:t>
      </w:r>
      <w:r w:rsidRPr="000E2FEE">
        <w:rPr>
          <w:rFonts w:eastAsia="Times New Roman"/>
          <w:snapToGrid w:val="0"/>
          <w:color w:val="000000"/>
          <w:szCs w:val="28"/>
        </w:rPr>
        <w:t>:</w:t>
      </w:r>
    </w:p>
    <w:p w14:paraId="7B454B35" w14:textId="77777777" w:rsidR="00F25937" w:rsidRPr="000E2FEE" w:rsidRDefault="00F25937" w:rsidP="00F25937">
      <w:pPr>
        <w:tabs>
          <w:tab w:val="left" w:pos="-1080"/>
          <w:tab w:val="left" w:pos="-720"/>
          <w:tab w:val="left" w:pos="0"/>
          <w:tab w:val="left" w:pos="450"/>
          <w:tab w:val="left" w:pos="1350"/>
          <w:tab w:val="left" w:pos="2880"/>
        </w:tabs>
        <w:jc w:val="left"/>
        <w:rPr>
          <w:rFonts w:eastAsia="Times New Roman"/>
          <w:snapToGrid w:val="0"/>
          <w:color w:val="000000"/>
          <w:szCs w:val="28"/>
        </w:rPr>
      </w:pPr>
    </w:p>
    <w:p w14:paraId="2C6329DD" w14:textId="77777777" w:rsidR="00F25937" w:rsidRPr="000E2FEE" w:rsidRDefault="00F25937" w:rsidP="00F25937">
      <w:pPr>
        <w:tabs>
          <w:tab w:val="left" w:pos="-1080"/>
          <w:tab w:val="left" w:pos="-720"/>
          <w:tab w:val="left" w:pos="0"/>
          <w:tab w:val="left" w:pos="450"/>
          <w:tab w:val="left" w:pos="1350"/>
          <w:tab w:val="left" w:pos="2880"/>
        </w:tabs>
        <w:jc w:val="left"/>
        <w:rPr>
          <w:rFonts w:eastAsia="Times New Roman"/>
          <w:snapToGrid w:val="0"/>
          <w:color w:val="000000"/>
          <w:szCs w:val="28"/>
        </w:rPr>
      </w:pPr>
      <w:r w:rsidRPr="000E2FEE">
        <w:rPr>
          <w:rFonts w:eastAsia="Times New Roman"/>
          <w:snapToGrid w:val="0"/>
          <w:color w:val="000000"/>
          <w:szCs w:val="28"/>
        </w:rPr>
        <w:t>SURS reserves the right to amend any segment of the RFP prior to the announcement of a contractor. In such an event, all respondents will be afforded the opportunity to revise their proposals to accommodate the RFP amendment.</w:t>
      </w:r>
    </w:p>
    <w:p w14:paraId="7349D5A1" w14:textId="77777777" w:rsidR="00F25937" w:rsidRPr="000E2FEE" w:rsidRDefault="00F25937" w:rsidP="00F25937">
      <w:pPr>
        <w:tabs>
          <w:tab w:val="left" w:pos="-1080"/>
          <w:tab w:val="left" w:pos="-720"/>
          <w:tab w:val="left" w:pos="0"/>
          <w:tab w:val="left" w:pos="450"/>
          <w:tab w:val="left" w:pos="1350"/>
          <w:tab w:val="left" w:pos="2880"/>
        </w:tabs>
        <w:jc w:val="left"/>
        <w:rPr>
          <w:rFonts w:eastAsia="Times New Roman"/>
          <w:snapToGrid w:val="0"/>
          <w:color w:val="000000"/>
          <w:szCs w:val="28"/>
        </w:rPr>
      </w:pPr>
    </w:p>
    <w:p w14:paraId="7295733A" w14:textId="77777777" w:rsidR="00F25937" w:rsidRPr="000E2FEE" w:rsidRDefault="00F25937" w:rsidP="00DB3A7B">
      <w:pPr>
        <w:tabs>
          <w:tab w:val="left" w:pos="-1080"/>
          <w:tab w:val="left" w:pos="-720"/>
          <w:tab w:val="left" w:pos="0"/>
          <w:tab w:val="left" w:pos="450"/>
          <w:tab w:val="left" w:pos="1350"/>
          <w:tab w:val="left" w:pos="2880"/>
        </w:tabs>
        <w:jc w:val="both"/>
        <w:rPr>
          <w:rFonts w:eastAsia="Times New Roman"/>
          <w:snapToGrid w:val="0"/>
          <w:color w:val="000000"/>
          <w:szCs w:val="28"/>
        </w:rPr>
      </w:pPr>
      <w:r w:rsidRPr="000E2FEE">
        <w:rPr>
          <w:rFonts w:eastAsia="Times New Roman"/>
          <w:snapToGrid w:val="0"/>
          <w:color w:val="000000"/>
          <w:szCs w:val="28"/>
        </w:rPr>
        <w:t>SURS reserves the right to remove any or all of the services from consideration for this contract.  At its discretion, SURS may issue a separate contract for any service or groups of services included in this RFP. SURS may negotiate additional provisions to the contract awarded pursuant to this RFP.</w:t>
      </w:r>
    </w:p>
    <w:p w14:paraId="6A726E15" w14:textId="77777777" w:rsidR="00F25937" w:rsidRPr="000E2FEE" w:rsidRDefault="00F25937" w:rsidP="00DB3A7B">
      <w:pPr>
        <w:tabs>
          <w:tab w:val="left" w:pos="-1080"/>
          <w:tab w:val="left" w:pos="-720"/>
          <w:tab w:val="left" w:pos="0"/>
          <w:tab w:val="left" w:pos="450"/>
          <w:tab w:val="left" w:pos="1350"/>
          <w:tab w:val="left" w:pos="2880"/>
        </w:tabs>
        <w:jc w:val="both"/>
        <w:rPr>
          <w:rFonts w:eastAsia="Times New Roman"/>
          <w:snapToGrid w:val="0"/>
          <w:color w:val="000000"/>
          <w:szCs w:val="28"/>
        </w:rPr>
      </w:pPr>
    </w:p>
    <w:p w14:paraId="42F5F8C4" w14:textId="77777777" w:rsidR="00F25937" w:rsidRPr="000E2FEE" w:rsidRDefault="00F25937" w:rsidP="00DB3A7B">
      <w:pPr>
        <w:tabs>
          <w:tab w:val="left" w:pos="-1080"/>
          <w:tab w:val="left" w:pos="-720"/>
          <w:tab w:val="left" w:pos="0"/>
          <w:tab w:val="left" w:pos="450"/>
          <w:tab w:val="left" w:pos="1350"/>
          <w:tab w:val="left" w:pos="2880"/>
        </w:tabs>
        <w:jc w:val="both"/>
        <w:rPr>
          <w:rFonts w:eastAsia="Times New Roman"/>
          <w:snapToGrid w:val="0"/>
          <w:color w:val="000000"/>
          <w:szCs w:val="28"/>
        </w:rPr>
      </w:pPr>
      <w:r w:rsidRPr="000E2FEE">
        <w:rPr>
          <w:rFonts w:eastAsia="Times New Roman"/>
          <w:snapToGrid w:val="0"/>
          <w:color w:val="000000"/>
          <w:szCs w:val="28"/>
        </w:rPr>
        <w:t xml:space="preserve">SURS may request additional information from any or all bidders to assist in the evaluation of proposals, and SURS reserves the right to conduct background investigations of selected individuals or firms prior to awarding a contract under this RFP.  </w:t>
      </w:r>
    </w:p>
    <w:p w14:paraId="71554893" w14:textId="77777777" w:rsidR="00F25937" w:rsidRPr="000E2FEE" w:rsidRDefault="00F25937" w:rsidP="00DB3A7B">
      <w:pPr>
        <w:tabs>
          <w:tab w:val="left" w:pos="-1080"/>
          <w:tab w:val="left" w:pos="-720"/>
          <w:tab w:val="left" w:pos="0"/>
          <w:tab w:val="left" w:pos="450"/>
          <w:tab w:val="left" w:pos="1350"/>
          <w:tab w:val="left" w:pos="2880"/>
        </w:tabs>
        <w:jc w:val="both"/>
        <w:rPr>
          <w:rFonts w:eastAsia="Times New Roman"/>
          <w:snapToGrid w:val="0"/>
          <w:color w:val="000000"/>
          <w:szCs w:val="28"/>
        </w:rPr>
      </w:pPr>
    </w:p>
    <w:p w14:paraId="6FCE1347" w14:textId="3177FF60" w:rsidR="00F25937" w:rsidRPr="000E2FEE" w:rsidRDefault="00F25937" w:rsidP="00DB3A7B">
      <w:pPr>
        <w:tabs>
          <w:tab w:val="left" w:pos="-1080"/>
          <w:tab w:val="left" w:pos="-720"/>
          <w:tab w:val="left" w:pos="0"/>
          <w:tab w:val="left" w:pos="450"/>
          <w:tab w:val="left" w:pos="1350"/>
          <w:tab w:val="left" w:pos="2880"/>
        </w:tabs>
        <w:jc w:val="both"/>
        <w:rPr>
          <w:rFonts w:eastAsia="Times New Roman"/>
          <w:snapToGrid w:val="0"/>
          <w:color w:val="000000"/>
          <w:szCs w:val="28"/>
        </w:rPr>
      </w:pPr>
      <w:r w:rsidRPr="000E2FEE">
        <w:rPr>
          <w:rFonts w:eastAsia="Times New Roman"/>
          <w:snapToGrid w:val="0"/>
          <w:color w:val="000000"/>
          <w:szCs w:val="28"/>
        </w:rPr>
        <w:t>SURS does not bear any obligation to complete the RFP process or to selec</w:t>
      </w:r>
      <w:r w:rsidR="00DB3A7B" w:rsidRPr="000E2FEE">
        <w:rPr>
          <w:rFonts w:eastAsia="Times New Roman"/>
          <w:snapToGrid w:val="0"/>
          <w:color w:val="000000"/>
          <w:szCs w:val="28"/>
        </w:rPr>
        <w:t xml:space="preserve">t any individual(s) or firm(s).  </w:t>
      </w:r>
      <w:r w:rsidRPr="000E2FEE">
        <w:rPr>
          <w:rFonts w:eastAsia="Times New Roman"/>
          <w:snapToGrid w:val="0"/>
          <w:color w:val="000000"/>
          <w:szCs w:val="28"/>
        </w:rPr>
        <w:t>SURS also reserves the right without prejudice to reject a</w:t>
      </w:r>
      <w:r w:rsidR="00DB3A7B" w:rsidRPr="000E2FEE">
        <w:rPr>
          <w:rFonts w:eastAsia="Times New Roman"/>
          <w:snapToGrid w:val="0"/>
          <w:color w:val="000000"/>
          <w:szCs w:val="28"/>
        </w:rPr>
        <w:t xml:space="preserve">ny or all proposals submitted.  </w:t>
      </w:r>
      <w:r w:rsidRPr="000E2FEE">
        <w:rPr>
          <w:rFonts w:eastAsia="Times New Roman"/>
          <w:snapToGrid w:val="0"/>
          <w:color w:val="000000"/>
          <w:szCs w:val="28"/>
        </w:rPr>
        <w:t xml:space="preserve">SURS will </w:t>
      </w:r>
      <w:r w:rsidRPr="000E2FEE">
        <w:rPr>
          <w:rFonts w:eastAsia="Times New Roman"/>
          <w:b/>
          <w:snapToGrid w:val="0"/>
          <w:color w:val="000000"/>
          <w:szCs w:val="28"/>
        </w:rPr>
        <w:t>NOT</w:t>
      </w:r>
      <w:r w:rsidRPr="000E2FEE">
        <w:rPr>
          <w:rFonts w:eastAsia="Times New Roman"/>
          <w:snapToGrid w:val="0"/>
          <w:color w:val="000000"/>
          <w:szCs w:val="28"/>
        </w:rPr>
        <w:t xml:space="preserve"> reimburse any expenses incurred </w:t>
      </w:r>
      <w:r w:rsidR="00846AB7" w:rsidRPr="000E2FEE">
        <w:rPr>
          <w:rFonts w:eastAsia="Times New Roman"/>
          <w:snapToGrid w:val="0"/>
          <w:color w:val="000000"/>
          <w:szCs w:val="28"/>
        </w:rPr>
        <w:t>by responders in either responding to this RFP or incurred by responders for its participation in interviews with SURS’ staff, consultants, and/or board members in the location(s) designated by SURS for said interviews.</w:t>
      </w:r>
    </w:p>
    <w:p w14:paraId="4FC68FF1" w14:textId="7B04E79B" w:rsidR="00F25937" w:rsidRDefault="00F25937" w:rsidP="00F25937">
      <w:pPr>
        <w:tabs>
          <w:tab w:val="left" w:pos="-1080"/>
          <w:tab w:val="left" w:pos="-720"/>
          <w:tab w:val="left" w:pos="0"/>
          <w:tab w:val="left" w:pos="450"/>
          <w:tab w:val="left" w:pos="1350"/>
          <w:tab w:val="left" w:pos="2880"/>
        </w:tabs>
        <w:jc w:val="left"/>
        <w:rPr>
          <w:rFonts w:eastAsia="Times New Roman"/>
          <w:snapToGrid w:val="0"/>
          <w:color w:val="000000"/>
          <w:szCs w:val="28"/>
        </w:rPr>
      </w:pPr>
    </w:p>
    <w:p w14:paraId="06361DA6" w14:textId="651C28EB" w:rsidR="001007D0" w:rsidRDefault="001007D0" w:rsidP="00F25937">
      <w:pPr>
        <w:tabs>
          <w:tab w:val="left" w:pos="-1080"/>
          <w:tab w:val="left" w:pos="-720"/>
          <w:tab w:val="left" w:pos="0"/>
          <w:tab w:val="left" w:pos="450"/>
          <w:tab w:val="left" w:pos="1350"/>
          <w:tab w:val="left" w:pos="2880"/>
        </w:tabs>
        <w:jc w:val="left"/>
        <w:rPr>
          <w:rFonts w:eastAsia="Times New Roman"/>
          <w:snapToGrid w:val="0"/>
          <w:color w:val="000000"/>
          <w:szCs w:val="28"/>
        </w:rPr>
      </w:pPr>
    </w:p>
    <w:p w14:paraId="045AA162" w14:textId="23EDD032" w:rsidR="001007D0" w:rsidRDefault="001007D0" w:rsidP="00F25937">
      <w:pPr>
        <w:tabs>
          <w:tab w:val="left" w:pos="-1080"/>
          <w:tab w:val="left" w:pos="-720"/>
          <w:tab w:val="left" w:pos="0"/>
          <w:tab w:val="left" w:pos="450"/>
          <w:tab w:val="left" w:pos="1350"/>
          <w:tab w:val="left" w:pos="2880"/>
        </w:tabs>
        <w:jc w:val="left"/>
        <w:rPr>
          <w:rFonts w:eastAsia="Times New Roman"/>
          <w:snapToGrid w:val="0"/>
          <w:color w:val="000000"/>
          <w:szCs w:val="28"/>
        </w:rPr>
      </w:pPr>
    </w:p>
    <w:p w14:paraId="7558CC5A" w14:textId="6AA48FC1" w:rsidR="001007D0" w:rsidRDefault="001007D0" w:rsidP="00F25937">
      <w:pPr>
        <w:tabs>
          <w:tab w:val="left" w:pos="-1080"/>
          <w:tab w:val="left" w:pos="-720"/>
          <w:tab w:val="left" w:pos="0"/>
          <w:tab w:val="left" w:pos="450"/>
          <w:tab w:val="left" w:pos="1350"/>
          <w:tab w:val="left" w:pos="2880"/>
        </w:tabs>
        <w:jc w:val="left"/>
        <w:rPr>
          <w:rFonts w:eastAsia="Times New Roman"/>
          <w:snapToGrid w:val="0"/>
          <w:color w:val="000000"/>
          <w:szCs w:val="28"/>
        </w:rPr>
      </w:pPr>
    </w:p>
    <w:p w14:paraId="462BD114" w14:textId="1A00D0AC" w:rsidR="001007D0" w:rsidRDefault="001007D0" w:rsidP="00F25937">
      <w:pPr>
        <w:tabs>
          <w:tab w:val="left" w:pos="-1080"/>
          <w:tab w:val="left" w:pos="-720"/>
          <w:tab w:val="left" w:pos="0"/>
          <w:tab w:val="left" w:pos="450"/>
          <w:tab w:val="left" w:pos="1350"/>
          <w:tab w:val="left" w:pos="2880"/>
        </w:tabs>
        <w:jc w:val="left"/>
        <w:rPr>
          <w:rFonts w:eastAsia="Times New Roman"/>
          <w:snapToGrid w:val="0"/>
          <w:color w:val="000000"/>
          <w:szCs w:val="28"/>
        </w:rPr>
      </w:pPr>
    </w:p>
    <w:p w14:paraId="2C52193F" w14:textId="649F59A8" w:rsidR="001007D0" w:rsidRDefault="001007D0" w:rsidP="00F25937">
      <w:pPr>
        <w:tabs>
          <w:tab w:val="left" w:pos="-1080"/>
          <w:tab w:val="left" w:pos="-720"/>
          <w:tab w:val="left" w:pos="0"/>
          <w:tab w:val="left" w:pos="450"/>
          <w:tab w:val="left" w:pos="1350"/>
          <w:tab w:val="left" w:pos="2880"/>
        </w:tabs>
        <w:jc w:val="left"/>
        <w:rPr>
          <w:rFonts w:eastAsia="Times New Roman"/>
          <w:snapToGrid w:val="0"/>
          <w:color w:val="000000"/>
          <w:szCs w:val="28"/>
        </w:rPr>
      </w:pPr>
    </w:p>
    <w:p w14:paraId="503F5EB8" w14:textId="2A2186C5" w:rsidR="001007D0" w:rsidRDefault="001007D0" w:rsidP="00F25937">
      <w:pPr>
        <w:tabs>
          <w:tab w:val="left" w:pos="-1080"/>
          <w:tab w:val="left" w:pos="-720"/>
          <w:tab w:val="left" w:pos="0"/>
          <w:tab w:val="left" w:pos="450"/>
          <w:tab w:val="left" w:pos="1350"/>
          <w:tab w:val="left" w:pos="2880"/>
        </w:tabs>
        <w:jc w:val="left"/>
        <w:rPr>
          <w:rFonts w:eastAsia="Times New Roman"/>
          <w:snapToGrid w:val="0"/>
          <w:color w:val="000000"/>
          <w:szCs w:val="28"/>
        </w:rPr>
      </w:pPr>
    </w:p>
    <w:p w14:paraId="633C09CF" w14:textId="115126AA" w:rsidR="001007D0" w:rsidRDefault="001007D0" w:rsidP="00F25937">
      <w:pPr>
        <w:tabs>
          <w:tab w:val="left" w:pos="-1080"/>
          <w:tab w:val="left" w:pos="-720"/>
          <w:tab w:val="left" w:pos="0"/>
          <w:tab w:val="left" w:pos="450"/>
          <w:tab w:val="left" w:pos="1350"/>
          <w:tab w:val="left" w:pos="2880"/>
        </w:tabs>
        <w:jc w:val="left"/>
        <w:rPr>
          <w:rFonts w:eastAsia="Times New Roman"/>
          <w:snapToGrid w:val="0"/>
          <w:color w:val="000000"/>
          <w:szCs w:val="28"/>
        </w:rPr>
      </w:pPr>
    </w:p>
    <w:p w14:paraId="714500C7" w14:textId="7F3BB4E5" w:rsidR="001007D0" w:rsidRDefault="001007D0" w:rsidP="00F25937">
      <w:pPr>
        <w:tabs>
          <w:tab w:val="left" w:pos="-1080"/>
          <w:tab w:val="left" w:pos="-720"/>
          <w:tab w:val="left" w:pos="0"/>
          <w:tab w:val="left" w:pos="450"/>
          <w:tab w:val="left" w:pos="1350"/>
          <w:tab w:val="left" w:pos="2880"/>
        </w:tabs>
        <w:jc w:val="left"/>
        <w:rPr>
          <w:rFonts w:eastAsia="Times New Roman"/>
          <w:snapToGrid w:val="0"/>
          <w:color w:val="000000"/>
          <w:szCs w:val="28"/>
        </w:rPr>
      </w:pPr>
    </w:p>
    <w:p w14:paraId="3097B6E5" w14:textId="475032DA" w:rsidR="001007D0" w:rsidRDefault="001007D0" w:rsidP="00F25937">
      <w:pPr>
        <w:tabs>
          <w:tab w:val="left" w:pos="-1080"/>
          <w:tab w:val="left" w:pos="-720"/>
          <w:tab w:val="left" w:pos="0"/>
          <w:tab w:val="left" w:pos="450"/>
          <w:tab w:val="left" w:pos="1350"/>
          <w:tab w:val="left" w:pos="2880"/>
        </w:tabs>
        <w:jc w:val="left"/>
        <w:rPr>
          <w:rFonts w:eastAsia="Times New Roman"/>
          <w:snapToGrid w:val="0"/>
          <w:color w:val="000000"/>
          <w:szCs w:val="28"/>
        </w:rPr>
      </w:pPr>
    </w:p>
    <w:p w14:paraId="6ABBAFDB" w14:textId="3D565C85" w:rsidR="001007D0" w:rsidRDefault="001007D0" w:rsidP="00F25937">
      <w:pPr>
        <w:tabs>
          <w:tab w:val="left" w:pos="-1080"/>
          <w:tab w:val="left" w:pos="-720"/>
          <w:tab w:val="left" w:pos="0"/>
          <w:tab w:val="left" w:pos="450"/>
          <w:tab w:val="left" w:pos="1350"/>
          <w:tab w:val="left" w:pos="2880"/>
        </w:tabs>
        <w:jc w:val="left"/>
        <w:rPr>
          <w:rFonts w:eastAsia="Times New Roman"/>
          <w:snapToGrid w:val="0"/>
          <w:color w:val="000000"/>
          <w:szCs w:val="28"/>
        </w:rPr>
      </w:pPr>
    </w:p>
    <w:p w14:paraId="35282CBD" w14:textId="61492101" w:rsidR="001007D0" w:rsidRDefault="001007D0" w:rsidP="00F25937">
      <w:pPr>
        <w:tabs>
          <w:tab w:val="left" w:pos="-1080"/>
          <w:tab w:val="left" w:pos="-720"/>
          <w:tab w:val="left" w:pos="0"/>
          <w:tab w:val="left" w:pos="450"/>
          <w:tab w:val="left" w:pos="1350"/>
          <w:tab w:val="left" w:pos="2880"/>
        </w:tabs>
        <w:jc w:val="left"/>
        <w:rPr>
          <w:rFonts w:eastAsia="Times New Roman"/>
          <w:snapToGrid w:val="0"/>
          <w:color w:val="000000"/>
          <w:szCs w:val="28"/>
        </w:rPr>
      </w:pPr>
    </w:p>
    <w:p w14:paraId="4D84151B" w14:textId="77777777" w:rsidR="001007D0" w:rsidRPr="000E2FEE" w:rsidRDefault="001007D0" w:rsidP="00F25937">
      <w:pPr>
        <w:tabs>
          <w:tab w:val="left" w:pos="-1080"/>
          <w:tab w:val="left" w:pos="-720"/>
          <w:tab w:val="left" w:pos="0"/>
          <w:tab w:val="left" w:pos="450"/>
          <w:tab w:val="left" w:pos="1350"/>
          <w:tab w:val="left" w:pos="2880"/>
        </w:tabs>
        <w:jc w:val="left"/>
        <w:rPr>
          <w:rFonts w:eastAsia="Times New Roman"/>
          <w:snapToGrid w:val="0"/>
          <w:color w:val="000000"/>
          <w:szCs w:val="28"/>
        </w:rPr>
      </w:pPr>
    </w:p>
    <w:p w14:paraId="0F8CE1DA" w14:textId="77777777" w:rsidR="00F25937" w:rsidRPr="000E2FEE" w:rsidRDefault="00F25937" w:rsidP="00F25937">
      <w:pPr>
        <w:jc w:val="both"/>
        <w:rPr>
          <w:b/>
          <w:u w:val="single"/>
        </w:rPr>
      </w:pPr>
      <w:r w:rsidRPr="000E2FEE">
        <w:rPr>
          <w:b/>
          <w:u w:val="single"/>
        </w:rPr>
        <w:t>Proposal Evaluation</w:t>
      </w:r>
      <w:r w:rsidR="00E130F8" w:rsidRPr="000E2FEE">
        <w:rPr>
          <w:b/>
          <w:u w:val="single"/>
        </w:rPr>
        <w:t>:</w:t>
      </w:r>
    </w:p>
    <w:p w14:paraId="2AC11EBF" w14:textId="77777777" w:rsidR="00F25937" w:rsidRPr="000E2FEE" w:rsidRDefault="00F25937" w:rsidP="00F25937">
      <w:pPr>
        <w:jc w:val="both"/>
        <w:rPr>
          <w:b/>
        </w:rPr>
      </w:pPr>
    </w:p>
    <w:p w14:paraId="4DC541DA" w14:textId="77777777" w:rsidR="0086789F" w:rsidRPr="000E2FEE" w:rsidRDefault="0086789F" w:rsidP="0086789F">
      <w:pPr>
        <w:jc w:val="both"/>
      </w:pPr>
      <w:r w:rsidRPr="000E2FEE">
        <w:t>All proposals received by deadline will be reviewed to determine whether they meet the requirements of this RFP. The primary factors that will be considered include, but will not necessarily be limited to:</w:t>
      </w:r>
    </w:p>
    <w:p w14:paraId="237C3871" w14:textId="77777777" w:rsidR="0086789F" w:rsidRPr="000E2FEE" w:rsidRDefault="0086789F" w:rsidP="0086789F">
      <w:pPr>
        <w:jc w:val="both"/>
      </w:pPr>
    </w:p>
    <w:p w14:paraId="6F8DFE45" w14:textId="77777777" w:rsidR="0086789F" w:rsidRPr="000E2FEE" w:rsidRDefault="0086789F" w:rsidP="0086789F">
      <w:pPr>
        <w:pStyle w:val="ListParagraph"/>
        <w:numPr>
          <w:ilvl w:val="0"/>
          <w:numId w:val="7"/>
        </w:numPr>
        <w:jc w:val="both"/>
      </w:pPr>
      <w:r w:rsidRPr="000E2FEE">
        <w:t>Organization</w:t>
      </w:r>
    </w:p>
    <w:p w14:paraId="35609840" w14:textId="77777777" w:rsidR="0086789F" w:rsidRPr="000E2FEE" w:rsidRDefault="0086789F" w:rsidP="0086789F">
      <w:pPr>
        <w:pStyle w:val="ListParagraph"/>
        <w:numPr>
          <w:ilvl w:val="0"/>
          <w:numId w:val="7"/>
        </w:numPr>
        <w:jc w:val="both"/>
      </w:pPr>
      <w:r w:rsidRPr="000E2FEE">
        <w:t>Resources</w:t>
      </w:r>
    </w:p>
    <w:p w14:paraId="55BD9A67" w14:textId="77777777" w:rsidR="0086789F" w:rsidRPr="000E2FEE" w:rsidRDefault="0086789F" w:rsidP="0086789F">
      <w:pPr>
        <w:pStyle w:val="ListParagraph"/>
        <w:numPr>
          <w:ilvl w:val="0"/>
          <w:numId w:val="7"/>
        </w:numPr>
        <w:jc w:val="both"/>
      </w:pPr>
      <w:r w:rsidRPr="000E2FEE">
        <w:t>Experience</w:t>
      </w:r>
    </w:p>
    <w:p w14:paraId="65D94260" w14:textId="77777777" w:rsidR="0086789F" w:rsidRPr="000E2FEE" w:rsidRDefault="0086789F" w:rsidP="0086789F">
      <w:pPr>
        <w:pStyle w:val="ListParagraph"/>
        <w:numPr>
          <w:ilvl w:val="0"/>
          <w:numId w:val="7"/>
        </w:numPr>
        <w:jc w:val="both"/>
      </w:pPr>
      <w:r w:rsidRPr="000E2FEE">
        <w:t>Investment Team</w:t>
      </w:r>
    </w:p>
    <w:p w14:paraId="5AD4385C" w14:textId="77777777" w:rsidR="0086789F" w:rsidRPr="000E2FEE" w:rsidRDefault="0086789F" w:rsidP="0086789F">
      <w:pPr>
        <w:pStyle w:val="ListParagraph"/>
        <w:numPr>
          <w:ilvl w:val="0"/>
          <w:numId w:val="7"/>
        </w:numPr>
        <w:jc w:val="both"/>
      </w:pPr>
      <w:r w:rsidRPr="000E2FEE">
        <w:t>Commitment to Diversity</w:t>
      </w:r>
    </w:p>
    <w:p w14:paraId="1A83194F" w14:textId="77777777" w:rsidR="0086789F" w:rsidRPr="000E2FEE" w:rsidRDefault="0086789F" w:rsidP="0086789F">
      <w:pPr>
        <w:pStyle w:val="ListParagraph"/>
        <w:numPr>
          <w:ilvl w:val="0"/>
          <w:numId w:val="7"/>
        </w:numPr>
        <w:jc w:val="both"/>
      </w:pPr>
      <w:r w:rsidRPr="000E2FEE">
        <w:t>Performance</w:t>
      </w:r>
    </w:p>
    <w:p w14:paraId="326EB727" w14:textId="77777777" w:rsidR="0086789F" w:rsidRPr="000E2FEE" w:rsidRDefault="0086789F" w:rsidP="0086789F">
      <w:pPr>
        <w:pStyle w:val="ListParagraph"/>
        <w:numPr>
          <w:ilvl w:val="0"/>
          <w:numId w:val="7"/>
        </w:numPr>
        <w:jc w:val="both"/>
      </w:pPr>
      <w:r w:rsidRPr="000E2FEE">
        <w:t>Fees</w:t>
      </w:r>
    </w:p>
    <w:p w14:paraId="5C7529A2" w14:textId="77777777" w:rsidR="0086789F" w:rsidRPr="000E2FEE" w:rsidRDefault="0086789F" w:rsidP="0086789F">
      <w:pPr>
        <w:pStyle w:val="ListParagraph"/>
        <w:numPr>
          <w:ilvl w:val="0"/>
          <w:numId w:val="7"/>
        </w:numPr>
        <w:jc w:val="both"/>
      </w:pPr>
      <w:r w:rsidRPr="000E2FEE">
        <w:t>Level of detail provided in the RFP response</w:t>
      </w:r>
    </w:p>
    <w:p w14:paraId="15CB1D39" w14:textId="77777777" w:rsidR="00F25937" w:rsidRPr="000E2FEE" w:rsidRDefault="00F25937" w:rsidP="00F25937">
      <w:pPr>
        <w:jc w:val="both"/>
        <w:rPr>
          <w:b/>
        </w:rPr>
      </w:pPr>
    </w:p>
    <w:p w14:paraId="2C2CC05E" w14:textId="77777777" w:rsidR="0086789F" w:rsidRPr="000E2FEE" w:rsidRDefault="0086789F" w:rsidP="00F25937">
      <w:pPr>
        <w:jc w:val="both"/>
        <w:rPr>
          <w:b/>
        </w:rPr>
      </w:pPr>
    </w:p>
    <w:p w14:paraId="4BDC9384" w14:textId="77777777" w:rsidR="00F25937" w:rsidRPr="000E2FEE" w:rsidRDefault="00F25937" w:rsidP="00F25937">
      <w:pPr>
        <w:tabs>
          <w:tab w:val="left" w:pos="-1080"/>
          <w:tab w:val="left" w:pos="-720"/>
          <w:tab w:val="left" w:pos="0"/>
          <w:tab w:val="left" w:pos="450"/>
          <w:tab w:val="left" w:pos="1350"/>
          <w:tab w:val="left" w:pos="2880"/>
        </w:tabs>
        <w:ind w:left="450" w:hanging="450"/>
        <w:jc w:val="left"/>
        <w:rPr>
          <w:rFonts w:eastAsia="Times New Roman"/>
          <w:snapToGrid w:val="0"/>
          <w:color w:val="000000"/>
          <w:szCs w:val="28"/>
        </w:rPr>
      </w:pPr>
      <w:r w:rsidRPr="000E2FEE">
        <w:rPr>
          <w:rFonts w:eastAsia="Times New Roman"/>
          <w:b/>
          <w:snapToGrid w:val="0"/>
          <w:color w:val="000000"/>
          <w:szCs w:val="28"/>
          <w:u w:val="single"/>
        </w:rPr>
        <w:t>Terms and Conditions</w:t>
      </w:r>
      <w:r w:rsidRPr="000E2FEE">
        <w:rPr>
          <w:rFonts w:eastAsia="Times New Roman"/>
          <w:snapToGrid w:val="0"/>
          <w:color w:val="000000"/>
          <w:szCs w:val="28"/>
        </w:rPr>
        <w:t xml:space="preserve">: </w:t>
      </w:r>
    </w:p>
    <w:p w14:paraId="6813FFB9" w14:textId="77777777" w:rsidR="00F25937" w:rsidRPr="000E2FEE" w:rsidRDefault="00F25937" w:rsidP="00F25937">
      <w:pPr>
        <w:tabs>
          <w:tab w:val="left" w:pos="-1080"/>
          <w:tab w:val="left" w:pos="-720"/>
          <w:tab w:val="left" w:pos="0"/>
          <w:tab w:val="left" w:pos="450"/>
          <w:tab w:val="left" w:pos="1350"/>
          <w:tab w:val="left" w:pos="2880"/>
        </w:tabs>
        <w:ind w:left="450" w:hanging="450"/>
        <w:jc w:val="left"/>
        <w:rPr>
          <w:rFonts w:eastAsia="Times New Roman"/>
          <w:snapToGrid w:val="0"/>
          <w:color w:val="000000"/>
          <w:szCs w:val="28"/>
        </w:rPr>
      </w:pPr>
    </w:p>
    <w:p w14:paraId="62465511" w14:textId="77777777" w:rsidR="00F25937" w:rsidRPr="000E2FEE" w:rsidRDefault="00F25937" w:rsidP="00F25937">
      <w:pPr>
        <w:jc w:val="both"/>
        <w:rPr>
          <w:szCs w:val="24"/>
        </w:rPr>
      </w:pPr>
      <w:r w:rsidRPr="000E2FEE">
        <w:rPr>
          <w:szCs w:val="24"/>
        </w:rPr>
        <w:t xml:space="preserve">Following a review of submitted materials, selected individuals or firms must be prepared to make a presentation to the SURS Board of Trustees at a date and location to be determined by SURS. SURS will </w:t>
      </w:r>
      <w:r w:rsidRPr="000E2FEE">
        <w:rPr>
          <w:b/>
          <w:szCs w:val="24"/>
        </w:rPr>
        <w:t xml:space="preserve">NOT </w:t>
      </w:r>
      <w:r w:rsidRPr="000E2FEE">
        <w:rPr>
          <w:szCs w:val="24"/>
        </w:rPr>
        <w:t>provide reimbursement for any costs incurred by the individuals or firms associated with this presentation. Prior to the award of a contract pursuant to this RFP, sel</w:t>
      </w:r>
      <w:r w:rsidR="007E5793" w:rsidRPr="000E2FEE">
        <w:rPr>
          <w:szCs w:val="24"/>
        </w:rPr>
        <w:t>ected individuals or firms must provide all requested documentation.</w:t>
      </w:r>
    </w:p>
    <w:p w14:paraId="3F3A467E" w14:textId="77777777" w:rsidR="00573328" w:rsidRPr="000E2FEE" w:rsidRDefault="00573328" w:rsidP="00F25937">
      <w:pPr>
        <w:jc w:val="left"/>
        <w:rPr>
          <w:b/>
        </w:rPr>
      </w:pPr>
    </w:p>
    <w:p w14:paraId="0C04B864" w14:textId="77777777" w:rsidR="001C7FC4" w:rsidRDefault="001C7FC4" w:rsidP="00F25937">
      <w:pPr>
        <w:jc w:val="left"/>
        <w:rPr>
          <w:b/>
        </w:rPr>
      </w:pPr>
    </w:p>
    <w:p w14:paraId="4361DFC7" w14:textId="77777777" w:rsidR="001C7FC4" w:rsidRDefault="001C7FC4" w:rsidP="00F25937">
      <w:pPr>
        <w:jc w:val="left"/>
        <w:rPr>
          <w:b/>
        </w:rPr>
      </w:pPr>
    </w:p>
    <w:p w14:paraId="56E67BEE" w14:textId="77777777" w:rsidR="001C7FC4" w:rsidRDefault="001C7FC4" w:rsidP="00F25937">
      <w:pPr>
        <w:jc w:val="left"/>
        <w:rPr>
          <w:b/>
        </w:rPr>
      </w:pPr>
    </w:p>
    <w:p w14:paraId="7ECE7103" w14:textId="77777777" w:rsidR="0053403C" w:rsidRDefault="0053403C">
      <w:pPr>
        <w:spacing w:after="200" w:line="276" w:lineRule="auto"/>
        <w:jc w:val="left"/>
        <w:rPr>
          <w:b/>
        </w:rPr>
      </w:pPr>
      <w:r>
        <w:rPr>
          <w:b/>
        </w:rPr>
        <w:br w:type="page"/>
      </w:r>
    </w:p>
    <w:p w14:paraId="45BB3371" w14:textId="524D6953" w:rsidR="00F25937" w:rsidRPr="000E2FEE" w:rsidRDefault="00F25937" w:rsidP="00F25937">
      <w:pPr>
        <w:jc w:val="left"/>
        <w:rPr>
          <w:b/>
        </w:rPr>
      </w:pPr>
      <w:r w:rsidRPr="000E2FEE">
        <w:rPr>
          <w:b/>
        </w:rPr>
        <w:t xml:space="preserve">SECTION VI: DEFINITIONS AND APPENDICES </w:t>
      </w:r>
    </w:p>
    <w:p w14:paraId="39B150A4" w14:textId="77777777" w:rsidR="00F25937" w:rsidRPr="000E2FEE" w:rsidRDefault="00F25937" w:rsidP="00F25937">
      <w:pPr>
        <w:jc w:val="left"/>
        <w:rPr>
          <w:b/>
        </w:rPr>
      </w:pPr>
    </w:p>
    <w:p w14:paraId="626F6E34" w14:textId="77777777" w:rsidR="00F25937" w:rsidRPr="000E2FEE" w:rsidRDefault="00F25937" w:rsidP="00F25937">
      <w:pPr>
        <w:jc w:val="left"/>
        <w:rPr>
          <w:b/>
          <w:u w:val="single"/>
        </w:rPr>
      </w:pPr>
      <w:r w:rsidRPr="000E2FEE">
        <w:rPr>
          <w:b/>
        </w:rPr>
        <w:t>Definitions Under Illinois Law:</w:t>
      </w:r>
    </w:p>
    <w:p w14:paraId="67E3BDCB" w14:textId="77777777" w:rsidR="00861940" w:rsidRPr="000E2FEE" w:rsidRDefault="00F25937" w:rsidP="00F25937">
      <w:pPr>
        <w:tabs>
          <w:tab w:val="left" w:pos="-1080"/>
          <w:tab w:val="left" w:pos="-720"/>
          <w:tab w:val="left" w:pos="0"/>
          <w:tab w:val="left" w:pos="450"/>
          <w:tab w:val="left" w:pos="1350"/>
          <w:tab w:val="left" w:pos="2880"/>
        </w:tabs>
        <w:jc w:val="both"/>
      </w:pPr>
      <w:r w:rsidRPr="000E2FEE">
        <w:t xml:space="preserve">Link to Illinois Compiled Statutes: </w:t>
      </w:r>
      <w:hyperlink r:id="rId22" w:history="1">
        <w:r w:rsidRPr="000E2FEE">
          <w:rPr>
            <w:rStyle w:val="Hyperlink"/>
          </w:rPr>
          <w:t>www.ilga.gov</w:t>
        </w:r>
      </w:hyperlink>
      <w:r w:rsidRPr="000E2FEE">
        <w:t xml:space="preserve"> </w:t>
      </w:r>
    </w:p>
    <w:p w14:paraId="26F50D15" w14:textId="77777777" w:rsidR="00861940" w:rsidRPr="000E2FEE" w:rsidRDefault="00861940" w:rsidP="00861940">
      <w:pPr>
        <w:jc w:val="both"/>
      </w:pPr>
      <w:r w:rsidRPr="000E2FEE">
        <w:t xml:space="preserve">Link to Section 1-113.21 Illinois Pension Code: </w:t>
      </w:r>
      <w:hyperlink r:id="rId23" w:history="1">
        <w:r w:rsidRPr="000E2FEE">
          <w:rPr>
            <w:rStyle w:val="Hyperlink"/>
          </w:rPr>
          <w:t>http://www.ilga.gov/legislation/publicacts/98/PDF/098-1022.pdf</w:t>
        </w:r>
      </w:hyperlink>
    </w:p>
    <w:p w14:paraId="2203AD88" w14:textId="77777777" w:rsidR="00F25937" w:rsidRPr="000E2FEE" w:rsidRDefault="00F25937" w:rsidP="00F25937">
      <w:pPr>
        <w:tabs>
          <w:tab w:val="left" w:pos="-1080"/>
          <w:tab w:val="left" w:pos="-720"/>
          <w:tab w:val="left" w:pos="0"/>
          <w:tab w:val="left" w:pos="450"/>
          <w:tab w:val="left" w:pos="1350"/>
          <w:tab w:val="left" w:pos="2880"/>
        </w:tabs>
        <w:jc w:val="both"/>
        <w:rPr>
          <w:u w:val="single"/>
        </w:rPr>
      </w:pPr>
      <w:r w:rsidRPr="000E2FEE">
        <w:t xml:space="preserve"> </w:t>
      </w:r>
    </w:p>
    <w:p w14:paraId="0224F827" w14:textId="77777777" w:rsidR="00F25937" w:rsidRPr="000E2FEE" w:rsidRDefault="00F25937" w:rsidP="00F25937">
      <w:pPr>
        <w:tabs>
          <w:tab w:val="left" w:pos="-1080"/>
          <w:tab w:val="left" w:pos="-720"/>
          <w:tab w:val="left" w:pos="0"/>
          <w:tab w:val="left" w:pos="450"/>
          <w:tab w:val="left" w:pos="1350"/>
          <w:tab w:val="left" w:pos="2880"/>
        </w:tabs>
        <w:jc w:val="both"/>
      </w:pPr>
      <w:r w:rsidRPr="000E2FEE">
        <w:t>“</w:t>
      </w:r>
      <w:r w:rsidRPr="000E2FEE">
        <w:rPr>
          <w:b/>
        </w:rPr>
        <w:t>Contract</w:t>
      </w:r>
      <w:r w:rsidRPr="000E2FEE">
        <w:t>” means all types of [State] agreements, regardless of what they may be called, for the procurement, use, or disposal of supplies, services, professional or artistic services, or construction or for leases of real property where the [State] is the lessee, or capital improvements, and including renewals, master contracts, contracts for financing through use of installment or lease-purchase arrangements, renegotiated contracts, amendments to contracts, and change orders.</w:t>
      </w:r>
    </w:p>
    <w:p w14:paraId="5F50970E" w14:textId="77777777" w:rsidR="00F25937" w:rsidRPr="000E2FEE" w:rsidRDefault="00F25937" w:rsidP="00F25937">
      <w:pPr>
        <w:tabs>
          <w:tab w:val="left" w:pos="-1080"/>
          <w:tab w:val="left" w:pos="-720"/>
          <w:tab w:val="left" w:pos="0"/>
          <w:tab w:val="left" w:pos="450"/>
          <w:tab w:val="left" w:pos="1350"/>
          <w:tab w:val="left" w:pos="2880"/>
        </w:tabs>
        <w:jc w:val="both"/>
      </w:pPr>
    </w:p>
    <w:p w14:paraId="31BFD858" w14:textId="17F5B0F2" w:rsidR="00861940" w:rsidRPr="000E2FEE" w:rsidRDefault="00861940" w:rsidP="00861940">
      <w:pPr>
        <w:jc w:val="left"/>
        <w:rPr>
          <w:szCs w:val="24"/>
        </w:rPr>
      </w:pPr>
      <w:r w:rsidRPr="000E2FEE">
        <w:rPr>
          <w:b/>
          <w:szCs w:val="24"/>
        </w:rPr>
        <w:t xml:space="preserve">“Investment adviser”, </w:t>
      </w:r>
      <w:r w:rsidRPr="000E2FEE">
        <w:rPr>
          <w:szCs w:val="24"/>
        </w:rPr>
        <w:t>"investment advisor", or "investment manager" means</w:t>
      </w:r>
      <w:r w:rsidR="008E6E35" w:rsidRPr="000E2FEE">
        <w:rPr>
          <w:szCs w:val="24"/>
        </w:rPr>
        <w:t xml:space="preserve"> that for purposes of working with SURS </w:t>
      </w:r>
      <w:r w:rsidR="00BB6A72" w:rsidRPr="000E2FEE">
        <w:rPr>
          <w:szCs w:val="24"/>
        </w:rPr>
        <w:t xml:space="preserve">which is </w:t>
      </w:r>
      <w:r w:rsidR="001C7FC4" w:rsidRPr="000E2FEE">
        <w:rPr>
          <w:szCs w:val="24"/>
        </w:rPr>
        <w:t>a retirement</w:t>
      </w:r>
      <w:r w:rsidRPr="000E2FEE">
        <w:rPr>
          <w:szCs w:val="24"/>
        </w:rPr>
        <w:t xml:space="preserve"> system established under </w:t>
      </w:r>
      <w:r w:rsidR="00BB6A72" w:rsidRPr="000E2FEE">
        <w:rPr>
          <w:szCs w:val="24"/>
        </w:rPr>
        <w:t xml:space="preserve">and governed by Articles 1 and 15 of </w:t>
      </w:r>
      <w:r w:rsidR="008E6E35" w:rsidRPr="000E2FEE">
        <w:rPr>
          <w:szCs w:val="24"/>
        </w:rPr>
        <w:t xml:space="preserve">the </w:t>
      </w:r>
      <w:r w:rsidRPr="000E2FEE">
        <w:rPr>
          <w:szCs w:val="24"/>
        </w:rPr>
        <w:t xml:space="preserve">Illinois </w:t>
      </w:r>
      <w:r w:rsidR="008E6E35" w:rsidRPr="000E2FEE">
        <w:rPr>
          <w:szCs w:val="24"/>
        </w:rPr>
        <w:t xml:space="preserve">Pension </w:t>
      </w:r>
      <w:r w:rsidRPr="000E2FEE">
        <w:rPr>
          <w:szCs w:val="24"/>
        </w:rPr>
        <w:t>Code</w:t>
      </w:r>
      <w:r w:rsidR="008E6E35" w:rsidRPr="000E2FEE">
        <w:rPr>
          <w:szCs w:val="24"/>
        </w:rPr>
        <w:t xml:space="preserve">, an “investment adviser” is </w:t>
      </w:r>
      <w:r w:rsidR="001C7FC4" w:rsidRPr="000E2FEE">
        <w:rPr>
          <w:szCs w:val="24"/>
        </w:rPr>
        <w:t>a person</w:t>
      </w:r>
      <w:r w:rsidR="008E6E35" w:rsidRPr="000E2FEE">
        <w:rPr>
          <w:szCs w:val="24"/>
        </w:rPr>
        <w:t xml:space="preserve"> who</w:t>
      </w:r>
      <w:r w:rsidRPr="000E2FEE">
        <w:rPr>
          <w:szCs w:val="24"/>
        </w:rPr>
        <w:t>:</w:t>
      </w:r>
    </w:p>
    <w:p w14:paraId="27DB73CC" w14:textId="3C5D0EBC" w:rsidR="00861940" w:rsidRPr="000E2FEE" w:rsidRDefault="00861940" w:rsidP="00861940">
      <w:pPr>
        <w:jc w:val="left"/>
        <w:rPr>
          <w:szCs w:val="24"/>
        </w:rPr>
      </w:pPr>
      <w:r w:rsidRPr="000E2FEE">
        <w:rPr>
          <w:szCs w:val="24"/>
        </w:rPr>
        <w:t>        (1) is a fiduciary appointed by the board of trustees of the pension fund or retirement system in accordance with Section 1-</w:t>
      </w:r>
      <w:r w:rsidR="000D0729" w:rsidRPr="000E2FEE">
        <w:rPr>
          <w:szCs w:val="24"/>
        </w:rPr>
        <w:t>113.14(b)</w:t>
      </w:r>
      <w:r w:rsidRPr="000E2FEE">
        <w:rPr>
          <w:szCs w:val="24"/>
        </w:rPr>
        <w:t>;</w:t>
      </w:r>
    </w:p>
    <w:p w14:paraId="28F62C0F" w14:textId="77777777" w:rsidR="00861940" w:rsidRPr="000E2FEE" w:rsidRDefault="00861940" w:rsidP="00861940">
      <w:pPr>
        <w:jc w:val="left"/>
        <w:rPr>
          <w:szCs w:val="24"/>
        </w:rPr>
      </w:pPr>
      <w:r w:rsidRPr="000E2FEE">
        <w:rPr>
          <w:szCs w:val="24"/>
        </w:rPr>
        <w:t>        (2) has the power to manage, acquire, or dispose of any asset of the retirement system or pension fund;</w:t>
      </w:r>
    </w:p>
    <w:p w14:paraId="0704F1DA" w14:textId="77777777" w:rsidR="00861940" w:rsidRPr="000E2FEE" w:rsidRDefault="00861940" w:rsidP="00861940">
      <w:pPr>
        <w:jc w:val="left"/>
        <w:rPr>
          <w:szCs w:val="24"/>
        </w:rPr>
      </w:pPr>
      <w:r w:rsidRPr="000E2FEE">
        <w:rPr>
          <w:szCs w:val="24"/>
        </w:rPr>
        <w:t>        (3) has acknowledged in writing that he or she is a fiduciary with respect to the pension fund or retirement system; and</w:t>
      </w:r>
    </w:p>
    <w:p w14:paraId="63BEE6B9" w14:textId="36899288" w:rsidR="00861940" w:rsidRPr="000E2FEE" w:rsidRDefault="00861940" w:rsidP="00861940">
      <w:pPr>
        <w:jc w:val="left"/>
        <w:rPr>
          <w:szCs w:val="24"/>
        </w:rPr>
      </w:pPr>
      <w:r w:rsidRPr="000E2FEE">
        <w:rPr>
          <w:szCs w:val="24"/>
        </w:rPr>
        <w:t xml:space="preserve">        (4) is at least one of the following: (i) registered as an investment adviser under the federal Investment Advisers Act of 1940 (15 U.S.C. 80b-1, et seq.); </w:t>
      </w:r>
      <w:r w:rsidR="009D7B4B" w:rsidRPr="000E2FEE">
        <w:rPr>
          <w:szCs w:val="24"/>
        </w:rPr>
        <w:t xml:space="preserve">or </w:t>
      </w:r>
      <w:r w:rsidRPr="000E2FEE">
        <w:rPr>
          <w:szCs w:val="24"/>
        </w:rPr>
        <w:t>(ii) a bank, as defined in the Investment Advisers Act of 1940.</w:t>
      </w:r>
    </w:p>
    <w:p w14:paraId="2DA63FB1" w14:textId="77777777" w:rsidR="00861940" w:rsidRPr="000E2FEE" w:rsidRDefault="00861940" w:rsidP="00861940">
      <w:pPr>
        <w:tabs>
          <w:tab w:val="left" w:pos="-1080"/>
          <w:tab w:val="left" w:pos="-720"/>
          <w:tab w:val="left" w:pos="0"/>
          <w:tab w:val="left" w:pos="450"/>
          <w:tab w:val="left" w:pos="1350"/>
          <w:tab w:val="left" w:pos="2880"/>
        </w:tabs>
        <w:jc w:val="left"/>
      </w:pPr>
    </w:p>
    <w:p w14:paraId="5DE64623" w14:textId="77777777" w:rsidR="00F25937" w:rsidRPr="000E2FEE" w:rsidRDefault="00F25937" w:rsidP="00F25937">
      <w:pPr>
        <w:tabs>
          <w:tab w:val="left" w:pos="-1080"/>
          <w:tab w:val="left" w:pos="-720"/>
          <w:tab w:val="left" w:pos="0"/>
          <w:tab w:val="left" w:pos="450"/>
          <w:tab w:val="left" w:pos="1350"/>
          <w:tab w:val="left" w:pos="2880"/>
        </w:tabs>
        <w:jc w:val="both"/>
      </w:pPr>
      <w:r w:rsidRPr="000E2FEE">
        <w:t>“</w:t>
      </w:r>
      <w:r w:rsidRPr="000E2FEE">
        <w:rPr>
          <w:b/>
        </w:rPr>
        <w:t>Minority person</w:t>
      </w:r>
      <w:r w:rsidRPr="000E2FEE">
        <w:t>” means a person who is a citizen or lawful permanent resident of the United States and who is a member of a minority.</w:t>
      </w:r>
    </w:p>
    <w:p w14:paraId="661D8893" w14:textId="77777777" w:rsidR="00F25937" w:rsidRPr="000E2FEE" w:rsidRDefault="00F25937" w:rsidP="00F25937">
      <w:pPr>
        <w:tabs>
          <w:tab w:val="left" w:pos="-1080"/>
          <w:tab w:val="left" w:pos="-720"/>
          <w:tab w:val="left" w:pos="0"/>
          <w:tab w:val="left" w:pos="450"/>
          <w:tab w:val="left" w:pos="1350"/>
          <w:tab w:val="left" w:pos="2880"/>
        </w:tabs>
        <w:jc w:val="both"/>
      </w:pPr>
    </w:p>
    <w:p w14:paraId="160D63C5" w14:textId="77777777" w:rsidR="00F25937" w:rsidRPr="000E2FEE" w:rsidRDefault="00F25937" w:rsidP="00F25937">
      <w:pPr>
        <w:tabs>
          <w:tab w:val="left" w:pos="-1080"/>
          <w:tab w:val="left" w:pos="-720"/>
          <w:tab w:val="left" w:pos="0"/>
          <w:tab w:val="left" w:pos="450"/>
          <w:tab w:val="left" w:pos="1350"/>
          <w:tab w:val="left" w:pos="2880"/>
        </w:tabs>
        <w:jc w:val="both"/>
      </w:pPr>
      <w:r w:rsidRPr="000E2FEE">
        <w:t>“</w:t>
      </w:r>
      <w:r w:rsidRPr="000E2FEE">
        <w:rPr>
          <w:b/>
        </w:rPr>
        <w:t>Minority owned business</w:t>
      </w:r>
      <w:r w:rsidRPr="000E2FEE">
        <w:t xml:space="preserve">” means a business which is at least 51% owned by one or more minority persons, or in the case of a corporation, at least 51% of the stock in which is owned by one or more minority persons; and the management and daily business operations of which are controlled by one or more of the minority individuals who own it. </w:t>
      </w:r>
    </w:p>
    <w:p w14:paraId="1AB9336B" w14:textId="77777777" w:rsidR="00F25937" w:rsidRPr="000E2FEE" w:rsidRDefault="00F25937" w:rsidP="00F25937">
      <w:pPr>
        <w:tabs>
          <w:tab w:val="left" w:pos="-1080"/>
          <w:tab w:val="left" w:pos="-720"/>
          <w:tab w:val="left" w:pos="0"/>
          <w:tab w:val="left" w:pos="450"/>
          <w:tab w:val="left" w:pos="1350"/>
          <w:tab w:val="left" w:pos="2880"/>
        </w:tabs>
        <w:jc w:val="both"/>
      </w:pPr>
    </w:p>
    <w:p w14:paraId="4DF641D9" w14:textId="77777777" w:rsidR="00F25937" w:rsidRPr="000E2FEE" w:rsidRDefault="00F25937" w:rsidP="00F25937">
      <w:pPr>
        <w:tabs>
          <w:tab w:val="left" w:pos="-1080"/>
          <w:tab w:val="left" w:pos="-720"/>
          <w:tab w:val="left" w:pos="0"/>
          <w:tab w:val="left" w:pos="450"/>
          <w:tab w:val="left" w:pos="1350"/>
          <w:tab w:val="left" w:pos="2880"/>
        </w:tabs>
        <w:jc w:val="both"/>
      </w:pPr>
      <w:r w:rsidRPr="000E2FEE">
        <w:t xml:space="preserve"> “</w:t>
      </w:r>
      <w:r w:rsidRPr="000E2FEE">
        <w:rPr>
          <w:b/>
        </w:rPr>
        <w:t>Female owned business</w:t>
      </w:r>
      <w:r w:rsidRPr="000E2FEE">
        <w:t xml:space="preserve">” means a business which is at least 51% owned by one or more females, or, in the case of a corporation, at least 51% of the stock in which is owned by one or more females; and the management and daily business operations of which are controlled by one or more of the females who own it. </w:t>
      </w:r>
    </w:p>
    <w:p w14:paraId="7B490196" w14:textId="77777777" w:rsidR="00F25937" w:rsidRPr="000E2FEE" w:rsidRDefault="00F25937" w:rsidP="00CC55AA">
      <w:pPr>
        <w:tabs>
          <w:tab w:val="left" w:pos="-1080"/>
          <w:tab w:val="left" w:pos="-720"/>
          <w:tab w:val="left" w:pos="0"/>
          <w:tab w:val="left" w:pos="450"/>
          <w:tab w:val="left" w:pos="1350"/>
          <w:tab w:val="left" w:pos="2880"/>
        </w:tabs>
        <w:jc w:val="left"/>
      </w:pPr>
    </w:p>
    <w:p w14:paraId="3ACEDCF1" w14:textId="77777777" w:rsidR="00366C16" w:rsidRPr="000E2FEE" w:rsidRDefault="00F25937" w:rsidP="00CC55AA">
      <w:pPr>
        <w:jc w:val="left"/>
        <w:rPr>
          <w:szCs w:val="24"/>
        </w:rPr>
      </w:pPr>
      <w:r w:rsidRPr="000E2FEE">
        <w:t>“</w:t>
      </w:r>
      <w:r w:rsidRPr="000E2FEE">
        <w:rPr>
          <w:b/>
        </w:rPr>
        <w:t>Business owned by a person with a disability</w:t>
      </w:r>
      <w:r w:rsidRPr="000E2FEE">
        <w:t>” means a business that is at least 51% owned by one or more persons with a disability and the management and daily business operations of which are controlled by one or more of the persons with disabilities who own it. A not-for-profit agency for persons with disabilities that is exempt from taxation under Section 501 of the Internal Revenue Code of 1986 is also</w:t>
      </w:r>
      <w:r w:rsidR="00CC55AA" w:rsidRPr="000E2FEE">
        <w:t xml:space="preserve"> </w:t>
      </w:r>
      <w:r w:rsidR="00CC55AA" w:rsidRPr="000E2FEE">
        <w:rPr>
          <w:szCs w:val="24"/>
        </w:rPr>
        <w:t>considered a "business owned by a person with a disability".</w:t>
      </w:r>
    </w:p>
    <w:p w14:paraId="2CFED05C" w14:textId="77777777" w:rsidR="00366C16" w:rsidRPr="000E2FEE" w:rsidRDefault="00366C16" w:rsidP="00CC55AA">
      <w:pPr>
        <w:jc w:val="left"/>
        <w:rPr>
          <w:szCs w:val="24"/>
        </w:rPr>
      </w:pPr>
    </w:p>
    <w:p w14:paraId="468C25D9" w14:textId="77777777" w:rsidR="00366C16" w:rsidRPr="000E2FEE" w:rsidRDefault="00366C16" w:rsidP="00CC55AA">
      <w:pPr>
        <w:jc w:val="left"/>
        <w:rPr>
          <w:szCs w:val="24"/>
        </w:rPr>
      </w:pPr>
      <w:r w:rsidRPr="000E2FEE">
        <w:rPr>
          <w:b/>
          <w:szCs w:val="24"/>
        </w:rPr>
        <w:t>“Compensation”</w:t>
      </w:r>
      <w:r w:rsidRPr="000E2FEE">
        <w:rPr>
          <w:szCs w:val="24"/>
        </w:rPr>
        <w:t xml:space="preserve"> means any money, thing of value, or economic benefit conferred on, or received by, a consultant in return for services rendered, or to be rendered, by himself, herself, or another.</w:t>
      </w:r>
    </w:p>
    <w:p w14:paraId="0994DA2A" w14:textId="77777777" w:rsidR="00366C16" w:rsidRPr="000E2FEE" w:rsidRDefault="00366C16" w:rsidP="00CC55AA">
      <w:pPr>
        <w:jc w:val="left"/>
        <w:rPr>
          <w:szCs w:val="24"/>
        </w:rPr>
      </w:pPr>
    </w:p>
    <w:p w14:paraId="2E82390D" w14:textId="77777777" w:rsidR="007E5793" w:rsidRPr="00670786" w:rsidRDefault="00366C16" w:rsidP="00670786">
      <w:pPr>
        <w:jc w:val="left"/>
        <w:rPr>
          <w:szCs w:val="24"/>
        </w:rPr>
      </w:pPr>
      <w:r w:rsidRPr="000E2FEE">
        <w:rPr>
          <w:b/>
          <w:szCs w:val="24"/>
        </w:rPr>
        <w:t>“Economic opportunity”</w:t>
      </w:r>
      <w:r w:rsidR="00CC55AA" w:rsidRPr="000E2FEE">
        <w:rPr>
          <w:szCs w:val="24"/>
        </w:rPr>
        <w:t xml:space="preserve"> </w:t>
      </w:r>
      <w:r w:rsidRPr="000E2FEE">
        <w:rPr>
          <w:szCs w:val="24"/>
        </w:rPr>
        <w:t>means any purchase, sale, lease, contract, option, or other transaction or arrangement involving property or services wherein a consultant may gain an economic benefit.</w:t>
      </w:r>
    </w:p>
    <w:sectPr w:rsidR="007E5793" w:rsidRPr="00670786" w:rsidSect="00670786">
      <w:footerReference w:type="default" r:id="rId24"/>
      <w:endnotePr>
        <w:numFmt w:val="decimal"/>
        <w:numStart w:val="0"/>
      </w:endnotePr>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53B12" w14:textId="77777777" w:rsidR="009D289F" w:rsidRDefault="009D289F" w:rsidP="00F25937">
      <w:r>
        <w:separator/>
      </w:r>
    </w:p>
  </w:endnote>
  <w:endnote w:type="continuationSeparator" w:id="0">
    <w:p w14:paraId="0B03C5FA" w14:textId="77777777" w:rsidR="009D289F" w:rsidRDefault="009D289F" w:rsidP="00F2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569006"/>
      <w:docPartObj>
        <w:docPartGallery w:val="Page Numbers (Bottom of Page)"/>
        <w:docPartUnique/>
      </w:docPartObj>
    </w:sdtPr>
    <w:sdtEndPr/>
    <w:sdtContent>
      <w:sdt>
        <w:sdtPr>
          <w:id w:val="98381352"/>
          <w:docPartObj>
            <w:docPartGallery w:val="Page Numbers (Top of Page)"/>
            <w:docPartUnique/>
          </w:docPartObj>
        </w:sdtPr>
        <w:sdtEndPr/>
        <w:sdtContent>
          <w:p w14:paraId="59ABF07E" w14:textId="34158EDC" w:rsidR="00E27DDB" w:rsidRDefault="00E27DDB">
            <w:pPr>
              <w:pStyle w:val="Footer"/>
            </w:pPr>
            <w:r w:rsidRPr="00793498">
              <w:rPr>
                <w:sz w:val="18"/>
                <w:szCs w:val="18"/>
              </w:rPr>
              <w:t xml:space="preserve">Page </w:t>
            </w:r>
            <w:r w:rsidRPr="00793498">
              <w:rPr>
                <w:b/>
                <w:bCs/>
                <w:sz w:val="18"/>
                <w:szCs w:val="18"/>
              </w:rPr>
              <w:fldChar w:fldCharType="begin"/>
            </w:r>
            <w:r w:rsidRPr="00793498">
              <w:rPr>
                <w:b/>
                <w:bCs/>
                <w:sz w:val="18"/>
                <w:szCs w:val="18"/>
              </w:rPr>
              <w:instrText xml:space="preserve"> PAGE </w:instrText>
            </w:r>
            <w:r w:rsidRPr="00793498">
              <w:rPr>
                <w:b/>
                <w:bCs/>
                <w:sz w:val="18"/>
                <w:szCs w:val="18"/>
              </w:rPr>
              <w:fldChar w:fldCharType="separate"/>
            </w:r>
            <w:r w:rsidR="00DB1AE8">
              <w:rPr>
                <w:b/>
                <w:bCs/>
                <w:noProof/>
                <w:sz w:val="18"/>
                <w:szCs w:val="18"/>
              </w:rPr>
              <w:t>3</w:t>
            </w:r>
            <w:r w:rsidRPr="00793498">
              <w:rPr>
                <w:b/>
                <w:bCs/>
                <w:sz w:val="18"/>
                <w:szCs w:val="18"/>
              </w:rPr>
              <w:fldChar w:fldCharType="end"/>
            </w:r>
            <w:r w:rsidRPr="00793498">
              <w:rPr>
                <w:sz w:val="18"/>
                <w:szCs w:val="18"/>
              </w:rPr>
              <w:t xml:space="preserve"> of </w:t>
            </w:r>
            <w:r w:rsidRPr="00793498">
              <w:rPr>
                <w:b/>
                <w:bCs/>
                <w:sz w:val="18"/>
                <w:szCs w:val="18"/>
              </w:rPr>
              <w:fldChar w:fldCharType="begin"/>
            </w:r>
            <w:r w:rsidRPr="00793498">
              <w:rPr>
                <w:b/>
                <w:bCs/>
                <w:sz w:val="18"/>
                <w:szCs w:val="18"/>
              </w:rPr>
              <w:instrText xml:space="preserve"> NUMPAGES  </w:instrText>
            </w:r>
            <w:r w:rsidRPr="00793498">
              <w:rPr>
                <w:b/>
                <w:bCs/>
                <w:sz w:val="18"/>
                <w:szCs w:val="18"/>
              </w:rPr>
              <w:fldChar w:fldCharType="separate"/>
            </w:r>
            <w:r w:rsidR="00DB1AE8">
              <w:rPr>
                <w:b/>
                <w:bCs/>
                <w:noProof/>
                <w:sz w:val="18"/>
                <w:szCs w:val="18"/>
              </w:rPr>
              <w:t>13</w:t>
            </w:r>
            <w:r w:rsidRPr="00793498">
              <w:rPr>
                <w:b/>
                <w:bCs/>
                <w:sz w:val="18"/>
                <w:szCs w:val="18"/>
              </w:rPr>
              <w:fldChar w:fldCharType="end"/>
            </w:r>
          </w:p>
        </w:sdtContent>
      </w:sdt>
    </w:sdtContent>
  </w:sdt>
  <w:p w14:paraId="343600D1" w14:textId="77777777" w:rsidR="00E27DDB" w:rsidRDefault="00E27DDB" w:rsidP="0037703C">
    <w:pPr>
      <w:pStyle w:val="Footer"/>
      <w:tabs>
        <w:tab w:val="clear" w:pos="9360"/>
        <w:tab w:val="left" w:pos="504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4181C" w14:textId="77777777" w:rsidR="009D289F" w:rsidRDefault="009D289F" w:rsidP="00F25937">
      <w:r>
        <w:separator/>
      </w:r>
    </w:p>
  </w:footnote>
  <w:footnote w:type="continuationSeparator" w:id="0">
    <w:p w14:paraId="5DD02AFF" w14:textId="77777777" w:rsidR="009D289F" w:rsidRDefault="009D289F" w:rsidP="00F25937">
      <w:r>
        <w:continuationSeparator/>
      </w:r>
    </w:p>
  </w:footnote>
  <w:footnote w:id="1">
    <w:p w14:paraId="2F11270D" w14:textId="77777777" w:rsidR="00E27DDB" w:rsidRPr="0003207E" w:rsidRDefault="00E27DDB" w:rsidP="007B63DC">
      <w:pPr>
        <w:pStyle w:val="Footer"/>
        <w:jc w:val="left"/>
        <w:rPr>
          <w:sz w:val="18"/>
          <w:szCs w:val="18"/>
        </w:rPr>
      </w:pPr>
      <w:r>
        <w:rPr>
          <w:rStyle w:val="FootnoteReference"/>
        </w:rPr>
        <w:footnoteRef/>
      </w:r>
      <w:r>
        <w:t xml:space="preserve"> </w:t>
      </w:r>
      <w:r w:rsidRPr="0003207E">
        <w:rPr>
          <w:sz w:val="18"/>
          <w:szCs w:val="18"/>
        </w:rPr>
        <w:t xml:space="preserve">Note: </w:t>
      </w:r>
      <w:r>
        <w:rPr>
          <w:sz w:val="18"/>
          <w:szCs w:val="18"/>
        </w:rPr>
        <w:t xml:space="preserve">Although </w:t>
      </w:r>
      <w:r w:rsidRPr="0003207E">
        <w:rPr>
          <w:sz w:val="18"/>
          <w:szCs w:val="18"/>
        </w:rPr>
        <w:t>SURS is not subject to the Illinois Procurement Code generally (30 ILCS 500/1-15.100)</w:t>
      </w:r>
      <w:r>
        <w:rPr>
          <w:sz w:val="18"/>
          <w:szCs w:val="18"/>
        </w:rPr>
        <w:t>, each responder</w:t>
      </w:r>
      <w:r w:rsidRPr="0003207E">
        <w:rPr>
          <w:sz w:val="18"/>
          <w:szCs w:val="18"/>
        </w:rPr>
        <w:t xml:space="preserve"> should comply with any applicable sections of the Illinois Procurement Code. </w:t>
      </w:r>
    </w:p>
    <w:p w14:paraId="4013EA4D" w14:textId="77777777" w:rsidR="00E27DDB" w:rsidRDefault="00E27DDB" w:rsidP="007B63D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BD4"/>
    <w:multiLevelType w:val="hybridMultilevel"/>
    <w:tmpl w:val="A8A68A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24FAA"/>
    <w:multiLevelType w:val="hybridMultilevel"/>
    <w:tmpl w:val="41C6B2A4"/>
    <w:lvl w:ilvl="0" w:tplc="0409000F">
      <w:start w:val="1"/>
      <w:numFmt w:val="decimal"/>
      <w:lvlText w:val="%1."/>
      <w:lvlJc w:val="left"/>
      <w:pPr>
        <w:ind w:left="785" w:hanging="360"/>
      </w:p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07A31A32"/>
    <w:multiLevelType w:val="hybridMultilevel"/>
    <w:tmpl w:val="41C6B2A4"/>
    <w:lvl w:ilvl="0" w:tplc="0409000F">
      <w:start w:val="1"/>
      <w:numFmt w:val="decimal"/>
      <w:lvlText w:val="%1."/>
      <w:lvlJc w:val="left"/>
      <w:pPr>
        <w:ind w:left="785" w:hanging="360"/>
      </w:p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0DAD49D5"/>
    <w:multiLevelType w:val="multilevel"/>
    <w:tmpl w:val="6BB0B6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A444CA1"/>
    <w:multiLevelType w:val="hybridMultilevel"/>
    <w:tmpl w:val="07D6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B2D5C"/>
    <w:multiLevelType w:val="hybridMultilevel"/>
    <w:tmpl w:val="A38CD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459C5"/>
    <w:multiLevelType w:val="hybridMultilevel"/>
    <w:tmpl w:val="14241A74"/>
    <w:lvl w:ilvl="0" w:tplc="D9A2CA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755041"/>
    <w:multiLevelType w:val="hybridMultilevel"/>
    <w:tmpl w:val="AFE220BA"/>
    <w:lvl w:ilvl="0" w:tplc="04090019">
      <w:start w:val="1"/>
      <w:numFmt w:val="lowerLetter"/>
      <w:lvlText w:val="%1."/>
      <w:lvlJc w:val="left"/>
      <w:pPr>
        <w:ind w:left="720" w:hanging="360"/>
      </w:pPr>
      <w:rPr>
        <w:rFonts w:hint="default"/>
      </w:rPr>
    </w:lvl>
    <w:lvl w:ilvl="1" w:tplc="01AC5D1E">
      <w:start w:val="1"/>
      <w:numFmt w:val="decimal"/>
      <w:lvlText w:val="%2."/>
      <w:lvlJc w:val="left"/>
      <w:pPr>
        <w:ind w:left="1440" w:hanging="360"/>
      </w:pPr>
      <w:rPr>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B1888"/>
    <w:multiLevelType w:val="hybridMultilevel"/>
    <w:tmpl w:val="84589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D443C"/>
    <w:multiLevelType w:val="hybridMultilevel"/>
    <w:tmpl w:val="5FA232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DE235F"/>
    <w:multiLevelType w:val="hybridMultilevel"/>
    <w:tmpl w:val="5A04A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4494D"/>
    <w:multiLevelType w:val="hybridMultilevel"/>
    <w:tmpl w:val="89309E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474573"/>
    <w:multiLevelType w:val="hybridMultilevel"/>
    <w:tmpl w:val="65DE4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9377EC"/>
    <w:multiLevelType w:val="multilevel"/>
    <w:tmpl w:val="11CE69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A620C9"/>
    <w:multiLevelType w:val="hybridMultilevel"/>
    <w:tmpl w:val="F268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360D1B"/>
    <w:multiLevelType w:val="hybridMultilevel"/>
    <w:tmpl w:val="FB9ADF50"/>
    <w:lvl w:ilvl="0" w:tplc="79485142">
      <w:start w:val="1"/>
      <w:numFmt w:val="decimal"/>
      <w:lvlText w:val="%1."/>
      <w:lvlJc w:val="left"/>
      <w:pPr>
        <w:ind w:left="720" w:hanging="360"/>
      </w:pPr>
      <w:rPr>
        <w:rFonts w:hint="default"/>
        <w:b w:val="0"/>
        <w:sz w:val="22"/>
      </w:rPr>
    </w:lvl>
    <w:lvl w:ilvl="1" w:tplc="990C057C">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645CD"/>
    <w:multiLevelType w:val="hybridMultilevel"/>
    <w:tmpl w:val="F590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6A62F8"/>
    <w:multiLevelType w:val="hybridMultilevel"/>
    <w:tmpl w:val="3B14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06637B"/>
    <w:multiLevelType w:val="hybridMultilevel"/>
    <w:tmpl w:val="7BE0A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CE0510"/>
    <w:multiLevelType w:val="hybridMultilevel"/>
    <w:tmpl w:val="CE9A9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4FF6438"/>
    <w:multiLevelType w:val="hybridMultilevel"/>
    <w:tmpl w:val="AF52807C"/>
    <w:lvl w:ilvl="0" w:tplc="9F26054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93F5E3C"/>
    <w:multiLevelType w:val="hybridMultilevel"/>
    <w:tmpl w:val="8F727514"/>
    <w:lvl w:ilvl="0" w:tplc="11A2D2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45336B"/>
    <w:multiLevelType w:val="hybridMultilevel"/>
    <w:tmpl w:val="7872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1705F5"/>
    <w:multiLevelType w:val="hybridMultilevel"/>
    <w:tmpl w:val="650E3C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287C66"/>
    <w:multiLevelType w:val="hybridMultilevel"/>
    <w:tmpl w:val="5588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7241DA"/>
    <w:multiLevelType w:val="hybridMultilevel"/>
    <w:tmpl w:val="F3CA4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16"/>
  </w:num>
  <w:num w:numId="4">
    <w:abstractNumId w:val="0"/>
  </w:num>
  <w:num w:numId="5">
    <w:abstractNumId w:val="1"/>
  </w:num>
  <w:num w:numId="6">
    <w:abstractNumId w:val="18"/>
  </w:num>
  <w:num w:numId="7">
    <w:abstractNumId w:val="22"/>
  </w:num>
  <w:num w:numId="8">
    <w:abstractNumId w:val="14"/>
  </w:num>
  <w:num w:numId="9">
    <w:abstractNumId w:val="6"/>
  </w:num>
  <w:num w:numId="10">
    <w:abstractNumId w:val="21"/>
  </w:num>
  <w:num w:numId="11">
    <w:abstractNumId w:val="20"/>
  </w:num>
  <w:num w:numId="12">
    <w:abstractNumId w:val="12"/>
  </w:num>
  <w:num w:numId="13">
    <w:abstractNumId w:val="25"/>
  </w:num>
  <w:num w:numId="14">
    <w:abstractNumId w:val="2"/>
  </w:num>
  <w:num w:numId="15">
    <w:abstractNumId w:val="10"/>
  </w:num>
  <w:num w:numId="16">
    <w:abstractNumId w:val="4"/>
  </w:num>
  <w:num w:numId="17">
    <w:abstractNumId w:val="8"/>
  </w:num>
  <w:num w:numId="18">
    <w:abstractNumId w:val="19"/>
  </w:num>
  <w:num w:numId="19">
    <w:abstractNumId w:val="5"/>
  </w:num>
  <w:num w:numId="20">
    <w:abstractNumId w:val="13"/>
  </w:num>
  <w:num w:numId="21">
    <w:abstractNumId w:val="3"/>
  </w:num>
  <w:num w:numId="22">
    <w:abstractNumId w:val="9"/>
  </w:num>
  <w:num w:numId="23">
    <w:abstractNumId w:val="23"/>
  </w:num>
  <w:num w:numId="24">
    <w:abstractNumId w:val="11"/>
  </w:num>
  <w:num w:numId="25">
    <w:abstractNumId w:val="15"/>
  </w:num>
  <w:num w:numId="2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937"/>
    <w:rsid w:val="00003321"/>
    <w:rsid w:val="00004AFE"/>
    <w:rsid w:val="000146C3"/>
    <w:rsid w:val="00033D35"/>
    <w:rsid w:val="000347B9"/>
    <w:rsid w:val="00042049"/>
    <w:rsid w:val="0004357A"/>
    <w:rsid w:val="00045891"/>
    <w:rsid w:val="0004605E"/>
    <w:rsid w:val="000529E3"/>
    <w:rsid w:val="00060893"/>
    <w:rsid w:val="00070F33"/>
    <w:rsid w:val="00071629"/>
    <w:rsid w:val="00081A26"/>
    <w:rsid w:val="00086973"/>
    <w:rsid w:val="00086D3B"/>
    <w:rsid w:val="00087B99"/>
    <w:rsid w:val="000917FA"/>
    <w:rsid w:val="00092D37"/>
    <w:rsid w:val="000A01D7"/>
    <w:rsid w:val="000B4BAC"/>
    <w:rsid w:val="000C3ECF"/>
    <w:rsid w:val="000C7CB4"/>
    <w:rsid w:val="000D0729"/>
    <w:rsid w:val="000E2FEE"/>
    <w:rsid w:val="000F2612"/>
    <w:rsid w:val="000F3A94"/>
    <w:rsid w:val="000F7724"/>
    <w:rsid w:val="001007D0"/>
    <w:rsid w:val="00114465"/>
    <w:rsid w:val="00116C44"/>
    <w:rsid w:val="00120735"/>
    <w:rsid w:val="0012229C"/>
    <w:rsid w:val="001262BD"/>
    <w:rsid w:val="00126DDE"/>
    <w:rsid w:val="001316FB"/>
    <w:rsid w:val="00131CAA"/>
    <w:rsid w:val="00131F77"/>
    <w:rsid w:val="001505E3"/>
    <w:rsid w:val="00154E6C"/>
    <w:rsid w:val="00163ED4"/>
    <w:rsid w:val="0016570C"/>
    <w:rsid w:val="001657E7"/>
    <w:rsid w:val="00174752"/>
    <w:rsid w:val="00182BCA"/>
    <w:rsid w:val="001903F0"/>
    <w:rsid w:val="001907F0"/>
    <w:rsid w:val="00195696"/>
    <w:rsid w:val="001C0A7B"/>
    <w:rsid w:val="001C6805"/>
    <w:rsid w:val="001C7207"/>
    <w:rsid w:val="001C7FC4"/>
    <w:rsid w:val="001D219B"/>
    <w:rsid w:val="001E2A53"/>
    <w:rsid w:val="001E5D6A"/>
    <w:rsid w:val="001F1A73"/>
    <w:rsid w:val="001F580A"/>
    <w:rsid w:val="001F6BC3"/>
    <w:rsid w:val="00202492"/>
    <w:rsid w:val="00203C13"/>
    <w:rsid w:val="002135A2"/>
    <w:rsid w:val="002265A7"/>
    <w:rsid w:val="0022790F"/>
    <w:rsid w:val="002347C8"/>
    <w:rsid w:val="00240443"/>
    <w:rsid w:val="0024061A"/>
    <w:rsid w:val="00247CC7"/>
    <w:rsid w:val="002512CF"/>
    <w:rsid w:val="002563E1"/>
    <w:rsid w:val="00257996"/>
    <w:rsid w:val="00263B3B"/>
    <w:rsid w:val="00263BBA"/>
    <w:rsid w:val="00264EEE"/>
    <w:rsid w:val="002674DD"/>
    <w:rsid w:val="002703F1"/>
    <w:rsid w:val="0027114B"/>
    <w:rsid w:val="00283901"/>
    <w:rsid w:val="00287760"/>
    <w:rsid w:val="00294C22"/>
    <w:rsid w:val="002965DF"/>
    <w:rsid w:val="002A439D"/>
    <w:rsid w:val="002A619C"/>
    <w:rsid w:val="002B0E24"/>
    <w:rsid w:val="002B1A16"/>
    <w:rsid w:val="002C197F"/>
    <w:rsid w:val="002D311C"/>
    <w:rsid w:val="002D5FDB"/>
    <w:rsid w:val="002D6BBF"/>
    <w:rsid w:val="002E326E"/>
    <w:rsid w:val="002F2B74"/>
    <w:rsid w:val="002F66F4"/>
    <w:rsid w:val="00310EEE"/>
    <w:rsid w:val="003178B4"/>
    <w:rsid w:val="00317F95"/>
    <w:rsid w:val="00326FAA"/>
    <w:rsid w:val="00331C29"/>
    <w:rsid w:val="00336746"/>
    <w:rsid w:val="0034193C"/>
    <w:rsid w:val="003423E4"/>
    <w:rsid w:val="00346864"/>
    <w:rsid w:val="0036359F"/>
    <w:rsid w:val="00366C16"/>
    <w:rsid w:val="00371D52"/>
    <w:rsid w:val="0037703C"/>
    <w:rsid w:val="00387342"/>
    <w:rsid w:val="00395BD3"/>
    <w:rsid w:val="0039747D"/>
    <w:rsid w:val="003A046E"/>
    <w:rsid w:val="003A2157"/>
    <w:rsid w:val="003A2978"/>
    <w:rsid w:val="003A47D6"/>
    <w:rsid w:val="003B1275"/>
    <w:rsid w:val="003B2BE0"/>
    <w:rsid w:val="003B6A0F"/>
    <w:rsid w:val="003C1A08"/>
    <w:rsid w:val="003C4E5F"/>
    <w:rsid w:val="003C5B3C"/>
    <w:rsid w:val="003D0BB8"/>
    <w:rsid w:val="003D0C20"/>
    <w:rsid w:val="003D63BB"/>
    <w:rsid w:val="003E2982"/>
    <w:rsid w:val="003F6851"/>
    <w:rsid w:val="00401381"/>
    <w:rsid w:val="00401D13"/>
    <w:rsid w:val="004073DF"/>
    <w:rsid w:val="00410EBD"/>
    <w:rsid w:val="004153D5"/>
    <w:rsid w:val="0041651F"/>
    <w:rsid w:val="00425645"/>
    <w:rsid w:val="00430772"/>
    <w:rsid w:val="00431C75"/>
    <w:rsid w:val="00440A3F"/>
    <w:rsid w:val="004468FA"/>
    <w:rsid w:val="00452268"/>
    <w:rsid w:val="004525C6"/>
    <w:rsid w:val="004539CD"/>
    <w:rsid w:val="00456151"/>
    <w:rsid w:val="00465A64"/>
    <w:rsid w:val="00466DE3"/>
    <w:rsid w:val="004674B5"/>
    <w:rsid w:val="004745EC"/>
    <w:rsid w:val="0048381F"/>
    <w:rsid w:val="00486494"/>
    <w:rsid w:val="004864B7"/>
    <w:rsid w:val="004916FF"/>
    <w:rsid w:val="00493CA0"/>
    <w:rsid w:val="00493FE1"/>
    <w:rsid w:val="004B2A6C"/>
    <w:rsid w:val="004B47AA"/>
    <w:rsid w:val="004B4D5E"/>
    <w:rsid w:val="004C2F78"/>
    <w:rsid w:val="004C49F4"/>
    <w:rsid w:val="004D24AC"/>
    <w:rsid w:val="004D74A0"/>
    <w:rsid w:val="004F022C"/>
    <w:rsid w:val="004F3B21"/>
    <w:rsid w:val="005020E8"/>
    <w:rsid w:val="0050333B"/>
    <w:rsid w:val="00504796"/>
    <w:rsid w:val="005076F4"/>
    <w:rsid w:val="005127B5"/>
    <w:rsid w:val="0052267C"/>
    <w:rsid w:val="00533EE9"/>
    <w:rsid w:val="0053403C"/>
    <w:rsid w:val="00534345"/>
    <w:rsid w:val="0053434A"/>
    <w:rsid w:val="00536456"/>
    <w:rsid w:val="005437C5"/>
    <w:rsid w:val="00543AE2"/>
    <w:rsid w:val="00544E30"/>
    <w:rsid w:val="00556BEC"/>
    <w:rsid w:val="0056341A"/>
    <w:rsid w:val="00563798"/>
    <w:rsid w:val="00573328"/>
    <w:rsid w:val="00573AAF"/>
    <w:rsid w:val="0058084B"/>
    <w:rsid w:val="0058314F"/>
    <w:rsid w:val="00585C47"/>
    <w:rsid w:val="005A1774"/>
    <w:rsid w:val="005B4D21"/>
    <w:rsid w:val="005B5794"/>
    <w:rsid w:val="005D5D1F"/>
    <w:rsid w:val="00610645"/>
    <w:rsid w:val="00610DB3"/>
    <w:rsid w:val="00612770"/>
    <w:rsid w:val="00630324"/>
    <w:rsid w:val="006342DB"/>
    <w:rsid w:val="00635BE1"/>
    <w:rsid w:val="006409EC"/>
    <w:rsid w:val="006577FC"/>
    <w:rsid w:val="00663974"/>
    <w:rsid w:val="00666AF8"/>
    <w:rsid w:val="00670786"/>
    <w:rsid w:val="00676A84"/>
    <w:rsid w:val="00685CB9"/>
    <w:rsid w:val="00686086"/>
    <w:rsid w:val="00693DA3"/>
    <w:rsid w:val="006945E4"/>
    <w:rsid w:val="0069693A"/>
    <w:rsid w:val="006A0A0C"/>
    <w:rsid w:val="006B1E9A"/>
    <w:rsid w:val="006C6857"/>
    <w:rsid w:val="006C7B6C"/>
    <w:rsid w:val="006D3B19"/>
    <w:rsid w:val="006D550A"/>
    <w:rsid w:val="006E4CD7"/>
    <w:rsid w:val="006F0CDF"/>
    <w:rsid w:val="007151CD"/>
    <w:rsid w:val="0072090B"/>
    <w:rsid w:val="00723FE1"/>
    <w:rsid w:val="00725244"/>
    <w:rsid w:val="00730101"/>
    <w:rsid w:val="007333C6"/>
    <w:rsid w:val="0074698B"/>
    <w:rsid w:val="007629CE"/>
    <w:rsid w:val="00763A32"/>
    <w:rsid w:val="00767F24"/>
    <w:rsid w:val="007727BC"/>
    <w:rsid w:val="007736FD"/>
    <w:rsid w:val="007831D5"/>
    <w:rsid w:val="007958E8"/>
    <w:rsid w:val="007A28FC"/>
    <w:rsid w:val="007B0C25"/>
    <w:rsid w:val="007B482B"/>
    <w:rsid w:val="007B4F8A"/>
    <w:rsid w:val="007B63DC"/>
    <w:rsid w:val="007C6C60"/>
    <w:rsid w:val="007D6C44"/>
    <w:rsid w:val="007D713E"/>
    <w:rsid w:val="007D7A94"/>
    <w:rsid w:val="007E5793"/>
    <w:rsid w:val="007F553C"/>
    <w:rsid w:val="008002D6"/>
    <w:rsid w:val="00804E90"/>
    <w:rsid w:val="00807472"/>
    <w:rsid w:val="0081169B"/>
    <w:rsid w:val="008140AE"/>
    <w:rsid w:val="008145F8"/>
    <w:rsid w:val="00823F96"/>
    <w:rsid w:val="008332B6"/>
    <w:rsid w:val="008426D2"/>
    <w:rsid w:val="00843342"/>
    <w:rsid w:val="0084553E"/>
    <w:rsid w:val="00846AB7"/>
    <w:rsid w:val="00847C66"/>
    <w:rsid w:val="00851169"/>
    <w:rsid w:val="008522BA"/>
    <w:rsid w:val="0085519B"/>
    <w:rsid w:val="00855FC8"/>
    <w:rsid w:val="00860CB9"/>
    <w:rsid w:val="00861940"/>
    <w:rsid w:val="00863798"/>
    <w:rsid w:val="00864243"/>
    <w:rsid w:val="008642FC"/>
    <w:rsid w:val="0086789F"/>
    <w:rsid w:val="0087509A"/>
    <w:rsid w:val="0087689F"/>
    <w:rsid w:val="0088372E"/>
    <w:rsid w:val="00895A20"/>
    <w:rsid w:val="008A6B77"/>
    <w:rsid w:val="008A7007"/>
    <w:rsid w:val="008B1194"/>
    <w:rsid w:val="008B3DB0"/>
    <w:rsid w:val="008C00C9"/>
    <w:rsid w:val="008C040C"/>
    <w:rsid w:val="008C076D"/>
    <w:rsid w:val="008C0C79"/>
    <w:rsid w:val="008C183C"/>
    <w:rsid w:val="008D4100"/>
    <w:rsid w:val="008D7FBF"/>
    <w:rsid w:val="008E1DB2"/>
    <w:rsid w:val="008E30FA"/>
    <w:rsid w:val="008E6E35"/>
    <w:rsid w:val="008F09D5"/>
    <w:rsid w:val="00900664"/>
    <w:rsid w:val="00900BEC"/>
    <w:rsid w:val="00906A70"/>
    <w:rsid w:val="00911947"/>
    <w:rsid w:val="00915FA8"/>
    <w:rsid w:val="009263DA"/>
    <w:rsid w:val="009502E5"/>
    <w:rsid w:val="00953E63"/>
    <w:rsid w:val="00954EAD"/>
    <w:rsid w:val="009571F7"/>
    <w:rsid w:val="00971C06"/>
    <w:rsid w:val="00976150"/>
    <w:rsid w:val="00987C6B"/>
    <w:rsid w:val="00990761"/>
    <w:rsid w:val="009A21F1"/>
    <w:rsid w:val="009C0B8E"/>
    <w:rsid w:val="009C1DE5"/>
    <w:rsid w:val="009D289F"/>
    <w:rsid w:val="009D4EC3"/>
    <w:rsid w:val="009D7B4B"/>
    <w:rsid w:val="009E356E"/>
    <w:rsid w:val="009F0FDB"/>
    <w:rsid w:val="009F42D9"/>
    <w:rsid w:val="00A05127"/>
    <w:rsid w:val="00A10227"/>
    <w:rsid w:val="00A12ABB"/>
    <w:rsid w:val="00A12BAE"/>
    <w:rsid w:val="00A14136"/>
    <w:rsid w:val="00A14C7C"/>
    <w:rsid w:val="00A14E81"/>
    <w:rsid w:val="00A16E4A"/>
    <w:rsid w:val="00A174C2"/>
    <w:rsid w:val="00A220E9"/>
    <w:rsid w:val="00A22850"/>
    <w:rsid w:val="00A26057"/>
    <w:rsid w:val="00A32395"/>
    <w:rsid w:val="00A33658"/>
    <w:rsid w:val="00A44CC6"/>
    <w:rsid w:val="00A52150"/>
    <w:rsid w:val="00A530D0"/>
    <w:rsid w:val="00A53868"/>
    <w:rsid w:val="00A561C4"/>
    <w:rsid w:val="00A57787"/>
    <w:rsid w:val="00A62B70"/>
    <w:rsid w:val="00A6448B"/>
    <w:rsid w:val="00A71318"/>
    <w:rsid w:val="00A7410D"/>
    <w:rsid w:val="00AC447F"/>
    <w:rsid w:val="00AC59AD"/>
    <w:rsid w:val="00AD23B1"/>
    <w:rsid w:val="00AD4B7F"/>
    <w:rsid w:val="00AD59F0"/>
    <w:rsid w:val="00AD60D4"/>
    <w:rsid w:val="00AE4E44"/>
    <w:rsid w:val="00AE67A8"/>
    <w:rsid w:val="00AF1538"/>
    <w:rsid w:val="00AF5E60"/>
    <w:rsid w:val="00B01B0D"/>
    <w:rsid w:val="00B05A6A"/>
    <w:rsid w:val="00B07031"/>
    <w:rsid w:val="00B10B24"/>
    <w:rsid w:val="00B133B4"/>
    <w:rsid w:val="00B16095"/>
    <w:rsid w:val="00B252A7"/>
    <w:rsid w:val="00B30D20"/>
    <w:rsid w:val="00B31628"/>
    <w:rsid w:val="00B31B46"/>
    <w:rsid w:val="00B4442B"/>
    <w:rsid w:val="00B467AA"/>
    <w:rsid w:val="00B52E14"/>
    <w:rsid w:val="00B5533C"/>
    <w:rsid w:val="00B6300E"/>
    <w:rsid w:val="00B659D5"/>
    <w:rsid w:val="00B65F9C"/>
    <w:rsid w:val="00B80191"/>
    <w:rsid w:val="00B86417"/>
    <w:rsid w:val="00B90F2C"/>
    <w:rsid w:val="00B93257"/>
    <w:rsid w:val="00BA20E6"/>
    <w:rsid w:val="00BA69C6"/>
    <w:rsid w:val="00BB0406"/>
    <w:rsid w:val="00BB6A72"/>
    <w:rsid w:val="00BD4D05"/>
    <w:rsid w:val="00BE39A3"/>
    <w:rsid w:val="00BE43A7"/>
    <w:rsid w:val="00BE6EEA"/>
    <w:rsid w:val="00C02A15"/>
    <w:rsid w:val="00C03D8B"/>
    <w:rsid w:val="00C05A26"/>
    <w:rsid w:val="00C0602F"/>
    <w:rsid w:val="00C169BF"/>
    <w:rsid w:val="00C2462F"/>
    <w:rsid w:val="00C24852"/>
    <w:rsid w:val="00C349DE"/>
    <w:rsid w:val="00C35E8A"/>
    <w:rsid w:val="00C410DF"/>
    <w:rsid w:val="00C44B33"/>
    <w:rsid w:val="00C57EFD"/>
    <w:rsid w:val="00C61872"/>
    <w:rsid w:val="00C70BF4"/>
    <w:rsid w:val="00C71CCF"/>
    <w:rsid w:val="00C73298"/>
    <w:rsid w:val="00C74C0E"/>
    <w:rsid w:val="00C7517A"/>
    <w:rsid w:val="00C801A9"/>
    <w:rsid w:val="00C86228"/>
    <w:rsid w:val="00C93983"/>
    <w:rsid w:val="00CA067B"/>
    <w:rsid w:val="00CA6BB6"/>
    <w:rsid w:val="00CB1472"/>
    <w:rsid w:val="00CB7915"/>
    <w:rsid w:val="00CC136F"/>
    <w:rsid w:val="00CC2BBB"/>
    <w:rsid w:val="00CC5134"/>
    <w:rsid w:val="00CC55AA"/>
    <w:rsid w:val="00CD7515"/>
    <w:rsid w:val="00CE0744"/>
    <w:rsid w:val="00CF1F69"/>
    <w:rsid w:val="00CF298B"/>
    <w:rsid w:val="00CF70D1"/>
    <w:rsid w:val="00D02E67"/>
    <w:rsid w:val="00D10818"/>
    <w:rsid w:val="00D223A5"/>
    <w:rsid w:val="00D30FD4"/>
    <w:rsid w:val="00D327EC"/>
    <w:rsid w:val="00D63F35"/>
    <w:rsid w:val="00D70BAD"/>
    <w:rsid w:val="00D7394F"/>
    <w:rsid w:val="00D92DBB"/>
    <w:rsid w:val="00D93045"/>
    <w:rsid w:val="00D94FDA"/>
    <w:rsid w:val="00D95099"/>
    <w:rsid w:val="00DB1AE8"/>
    <w:rsid w:val="00DB3A7B"/>
    <w:rsid w:val="00DB426C"/>
    <w:rsid w:val="00DB7FDE"/>
    <w:rsid w:val="00DD430E"/>
    <w:rsid w:val="00DD4E55"/>
    <w:rsid w:val="00DE623C"/>
    <w:rsid w:val="00DF51B1"/>
    <w:rsid w:val="00DF7E98"/>
    <w:rsid w:val="00E130F8"/>
    <w:rsid w:val="00E143DC"/>
    <w:rsid w:val="00E17A52"/>
    <w:rsid w:val="00E24DCE"/>
    <w:rsid w:val="00E27028"/>
    <w:rsid w:val="00E27DDB"/>
    <w:rsid w:val="00E31691"/>
    <w:rsid w:val="00E343C4"/>
    <w:rsid w:val="00E4070B"/>
    <w:rsid w:val="00E41893"/>
    <w:rsid w:val="00E464F8"/>
    <w:rsid w:val="00E52A26"/>
    <w:rsid w:val="00E63C5E"/>
    <w:rsid w:val="00E64202"/>
    <w:rsid w:val="00E65CC3"/>
    <w:rsid w:val="00E77B92"/>
    <w:rsid w:val="00E839FF"/>
    <w:rsid w:val="00E85ACF"/>
    <w:rsid w:val="00E9147F"/>
    <w:rsid w:val="00E93B6D"/>
    <w:rsid w:val="00EA0923"/>
    <w:rsid w:val="00EA3C3E"/>
    <w:rsid w:val="00EA5F82"/>
    <w:rsid w:val="00EA616F"/>
    <w:rsid w:val="00EA6D78"/>
    <w:rsid w:val="00EA71F8"/>
    <w:rsid w:val="00EB3451"/>
    <w:rsid w:val="00EC6FF0"/>
    <w:rsid w:val="00ED0B1D"/>
    <w:rsid w:val="00ED3ECF"/>
    <w:rsid w:val="00EE5712"/>
    <w:rsid w:val="00EF013E"/>
    <w:rsid w:val="00EF6F7A"/>
    <w:rsid w:val="00F0057C"/>
    <w:rsid w:val="00F103DB"/>
    <w:rsid w:val="00F10960"/>
    <w:rsid w:val="00F15E59"/>
    <w:rsid w:val="00F22A11"/>
    <w:rsid w:val="00F24F30"/>
    <w:rsid w:val="00F25937"/>
    <w:rsid w:val="00F27072"/>
    <w:rsid w:val="00F345FE"/>
    <w:rsid w:val="00F3669F"/>
    <w:rsid w:val="00F51234"/>
    <w:rsid w:val="00F51D01"/>
    <w:rsid w:val="00F5453C"/>
    <w:rsid w:val="00F547ED"/>
    <w:rsid w:val="00F60616"/>
    <w:rsid w:val="00F710E5"/>
    <w:rsid w:val="00F75E5D"/>
    <w:rsid w:val="00F816DE"/>
    <w:rsid w:val="00F83B6C"/>
    <w:rsid w:val="00F86749"/>
    <w:rsid w:val="00F95350"/>
    <w:rsid w:val="00F96FCE"/>
    <w:rsid w:val="00FA28E6"/>
    <w:rsid w:val="00FA7777"/>
    <w:rsid w:val="00FB1086"/>
    <w:rsid w:val="00FC5221"/>
    <w:rsid w:val="00FD3AA6"/>
    <w:rsid w:val="00FE0662"/>
    <w:rsid w:val="00FE6F10"/>
    <w:rsid w:val="00FE720F"/>
    <w:rsid w:val="00FF30B5"/>
    <w:rsid w:val="00FF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1D86"/>
  <w15:docId w15:val="{58DB1319-5660-4A63-8E09-CC4ACE35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A94"/>
    <w:pPr>
      <w:spacing w:after="0" w:line="240" w:lineRule="auto"/>
      <w:jc w:val="center"/>
    </w:pPr>
    <w:rPr>
      <w:rFonts w:ascii="Times New Roman" w:hAnsi="Times New Roman" w:cs="Times New Roman"/>
    </w:rPr>
  </w:style>
  <w:style w:type="paragraph" w:styleId="Heading1">
    <w:name w:val="heading 1"/>
    <w:basedOn w:val="Normal"/>
    <w:next w:val="Normal"/>
    <w:link w:val="Heading1Char"/>
    <w:uiPriority w:val="9"/>
    <w:qFormat/>
    <w:rsid w:val="00326F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693D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937"/>
    <w:pPr>
      <w:ind w:left="720"/>
      <w:contextualSpacing/>
    </w:pPr>
  </w:style>
  <w:style w:type="character" w:styleId="Hyperlink">
    <w:name w:val="Hyperlink"/>
    <w:basedOn w:val="DefaultParagraphFont"/>
    <w:uiPriority w:val="99"/>
    <w:unhideWhenUsed/>
    <w:rsid w:val="00F25937"/>
    <w:rPr>
      <w:color w:val="0000FF" w:themeColor="hyperlink"/>
      <w:u w:val="single"/>
    </w:rPr>
  </w:style>
  <w:style w:type="paragraph" w:styleId="Footer">
    <w:name w:val="footer"/>
    <w:basedOn w:val="Normal"/>
    <w:link w:val="FooterChar"/>
    <w:uiPriority w:val="99"/>
    <w:unhideWhenUsed/>
    <w:rsid w:val="00F25937"/>
    <w:pPr>
      <w:tabs>
        <w:tab w:val="center" w:pos="4680"/>
        <w:tab w:val="right" w:pos="9360"/>
      </w:tabs>
    </w:pPr>
  </w:style>
  <w:style w:type="character" w:customStyle="1" w:styleId="FooterChar">
    <w:name w:val="Footer Char"/>
    <w:basedOn w:val="DefaultParagraphFont"/>
    <w:link w:val="Footer"/>
    <w:uiPriority w:val="99"/>
    <w:rsid w:val="00F25937"/>
    <w:rPr>
      <w:rFonts w:ascii="Times New Roman" w:hAnsi="Times New Roman" w:cs="Times New Roman"/>
    </w:rPr>
  </w:style>
  <w:style w:type="paragraph" w:styleId="FootnoteText">
    <w:name w:val="footnote text"/>
    <w:basedOn w:val="Normal"/>
    <w:link w:val="FootnoteTextChar"/>
    <w:uiPriority w:val="99"/>
    <w:semiHidden/>
    <w:unhideWhenUsed/>
    <w:rsid w:val="00F25937"/>
    <w:rPr>
      <w:sz w:val="20"/>
      <w:szCs w:val="20"/>
    </w:rPr>
  </w:style>
  <w:style w:type="character" w:customStyle="1" w:styleId="FootnoteTextChar">
    <w:name w:val="Footnote Text Char"/>
    <w:basedOn w:val="DefaultParagraphFont"/>
    <w:link w:val="FootnoteText"/>
    <w:uiPriority w:val="99"/>
    <w:semiHidden/>
    <w:rsid w:val="00F2593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25937"/>
    <w:rPr>
      <w:vertAlign w:val="superscript"/>
    </w:rPr>
  </w:style>
  <w:style w:type="table" w:styleId="TableGrid">
    <w:name w:val="Table Grid"/>
    <w:basedOn w:val="TableNormal"/>
    <w:uiPriority w:val="59"/>
    <w:rsid w:val="00F25937"/>
    <w:pPr>
      <w:spacing w:after="0" w:line="240" w:lineRule="auto"/>
      <w:jc w:val="center"/>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6FA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26FAA"/>
    <w:pPr>
      <w:spacing w:line="276" w:lineRule="auto"/>
      <w:jc w:val="left"/>
      <w:outlineLvl w:val="9"/>
    </w:pPr>
    <w:rPr>
      <w:rFonts w:ascii="Cambria" w:eastAsia="Times New Roman" w:hAnsi="Cambria" w:cs="Times New Roman"/>
      <w:color w:val="365F91"/>
      <w:lang w:val="x-none" w:eastAsia="x-none"/>
    </w:rPr>
  </w:style>
  <w:style w:type="paragraph" w:styleId="BalloonText">
    <w:name w:val="Balloon Text"/>
    <w:basedOn w:val="Normal"/>
    <w:link w:val="BalloonTextChar"/>
    <w:uiPriority w:val="99"/>
    <w:semiHidden/>
    <w:unhideWhenUsed/>
    <w:rsid w:val="00900BEC"/>
    <w:rPr>
      <w:rFonts w:ascii="Tahoma" w:hAnsi="Tahoma" w:cs="Tahoma"/>
      <w:sz w:val="16"/>
      <w:szCs w:val="16"/>
    </w:rPr>
  </w:style>
  <w:style w:type="character" w:customStyle="1" w:styleId="BalloonTextChar">
    <w:name w:val="Balloon Text Char"/>
    <w:basedOn w:val="DefaultParagraphFont"/>
    <w:link w:val="BalloonText"/>
    <w:uiPriority w:val="99"/>
    <w:semiHidden/>
    <w:rsid w:val="00900BEC"/>
    <w:rPr>
      <w:rFonts w:ascii="Tahoma" w:hAnsi="Tahoma" w:cs="Tahoma"/>
      <w:sz w:val="16"/>
      <w:szCs w:val="16"/>
    </w:rPr>
  </w:style>
  <w:style w:type="character" w:customStyle="1" w:styleId="Heading4Char">
    <w:name w:val="Heading 4 Char"/>
    <w:basedOn w:val="DefaultParagraphFont"/>
    <w:link w:val="Heading4"/>
    <w:uiPriority w:val="9"/>
    <w:semiHidden/>
    <w:rsid w:val="00693DA3"/>
    <w:rPr>
      <w:rFonts w:asciiTheme="majorHAnsi" w:eastAsiaTheme="majorEastAsia" w:hAnsiTheme="majorHAnsi" w:cstheme="majorBidi"/>
      <w:b/>
      <w:bCs/>
      <w:i/>
      <w:iCs/>
      <w:color w:val="4F81BD" w:themeColor="accent1"/>
    </w:rPr>
  </w:style>
  <w:style w:type="paragraph" w:styleId="BodyText2">
    <w:name w:val="Body Text 2"/>
    <w:basedOn w:val="Normal"/>
    <w:link w:val="BodyText2Char"/>
    <w:rsid w:val="00693DA3"/>
    <w:pPr>
      <w:jc w:val="both"/>
    </w:pPr>
    <w:rPr>
      <w:rFonts w:eastAsia="Times New Roman"/>
      <w:sz w:val="24"/>
      <w:szCs w:val="20"/>
    </w:rPr>
  </w:style>
  <w:style w:type="character" w:customStyle="1" w:styleId="BodyText2Char">
    <w:name w:val="Body Text 2 Char"/>
    <w:basedOn w:val="DefaultParagraphFont"/>
    <w:link w:val="BodyText2"/>
    <w:rsid w:val="00693DA3"/>
    <w:rPr>
      <w:rFonts w:ascii="Times New Roman" w:eastAsia="Times New Roman" w:hAnsi="Times New Roman" w:cs="Times New Roman"/>
      <w:sz w:val="24"/>
      <w:szCs w:val="20"/>
    </w:rPr>
  </w:style>
  <w:style w:type="paragraph" w:styleId="EndnoteText">
    <w:name w:val="endnote text"/>
    <w:basedOn w:val="Normal"/>
    <w:link w:val="EndnoteTextChar"/>
    <w:semiHidden/>
    <w:rsid w:val="00693DA3"/>
    <w:pPr>
      <w:widowControl w:val="0"/>
      <w:jc w:val="left"/>
    </w:pPr>
    <w:rPr>
      <w:rFonts w:ascii="CG Times" w:eastAsia="Times New Roman" w:hAnsi="CG Times"/>
      <w:snapToGrid w:val="0"/>
      <w:sz w:val="24"/>
      <w:szCs w:val="20"/>
    </w:rPr>
  </w:style>
  <w:style w:type="character" w:customStyle="1" w:styleId="EndnoteTextChar">
    <w:name w:val="Endnote Text Char"/>
    <w:basedOn w:val="DefaultParagraphFont"/>
    <w:link w:val="EndnoteText"/>
    <w:semiHidden/>
    <w:rsid w:val="00693DA3"/>
    <w:rPr>
      <w:rFonts w:ascii="CG Times" w:eastAsia="Times New Roman" w:hAnsi="CG Times" w:cs="Times New Roman"/>
      <w:snapToGrid w:val="0"/>
      <w:sz w:val="24"/>
      <w:szCs w:val="20"/>
    </w:rPr>
  </w:style>
  <w:style w:type="paragraph" w:styleId="BodyTextIndent3">
    <w:name w:val="Body Text Indent 3"/>
    <w:basedOn w:val="Normal"/>
    <w:link w:val="BodyTextIndent3Char"/>
    <w:uiPriority w:val="99"/>
    <w:semiHidden/>
    <w:unhideWhenUsed/>
    <w:rsid w:val="00693DA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93DA3"/>
    <w:rPr>
      <w:rFonts w:ascii="Times New Roman" w:hAnsi="Times New Roman" w:cs="Times New Roman"/>
      <w:sz w:val="16"/>
      <w:szCs w:val="16"/>
    </w:rPr>
  </w:style>
  <w:style w:type="paragraph" w:styleId="BodyText">
    <w:name w:val="Body Text"/>
    <w:basedOn w:val="Normal"/>
    <w:link w:val="BodyTextChar"/>
    <w:uiPriority w:val="99"/>
    <w:unhideWhenUsed/>
    <w:rsid w:val="00081A26"/>
    <w:pPr>
      <w:spacing w:after="120"/>
    </w:pPr>
  </w:style>
  <w:style w:type="character" w:customStyle="1" w:styleId="BodyTextChar">
    <w:name w:val="Body Text Char"/>
    <w:basedOn w:val="DefaultParagraphFont"/>
    <w:link w:val="BodyText"/>
    <w:uiPriority w:val="99"/>
    <w:rsid w:val="00081A26"/>
    <w:rPr>
      <w:rFonts w:ascii="Times New Roman" w:hAnsi="Times New Roman" w:cs="Times New Roman"/>
    </w:rPr>
  </w:style>
  <w:style w:type="paragraph" w:styleId="BodyTextIndent2">
    <w:name w:val="Body Text Indent 2"/>
    <w:basedOn w:val="Normal"/>
    <w:link w:val="BodyTextIndent2Char"/>
    <w:uiPriority w:val="99"/>
    <w:unhideWhenUsed/>
    <w:rsid w:val="00081A26"/>
    <w:pPr>
      <w:spacing w:after="120" w:line="480" w:lineRule="auto"/>
      <w:ind w:left="360"/>
    </w:pPr>
  </w:style>
  <w:style w:type="character" w:customStyle="1" w:styleId="BodyTextIndent2Char">
    <w:name w:val="Body Text Indent 2 Char"/>
    <w:basedOn w:val="DefaultParagraphFont"/>
    <w:link w:val="BodyTextIndent2"/>
    <w:uiPriority w:val="99"/>
    <w:rsid w:val="00081A26"/>
    <w:rPr>
      <w:rFonts w:ascii="Times New Roman" w:hAnsi="Times New Roman" w:cs="Times New Roman"/>
    </w:rPr>
  </w:style>
  <w:style w:type="paragraph" w:styleId="BodyTextIndent">
    <w:name w:val="Body Text Indent"/>
    <w:basedOn w:val="Normal"/>
    <w:link w:val="BodyTextIndentChar"/>
    <w:uiPriority w:val="99"/>
    <w:unhideWhenUsed/>
    <w:rsid w:val="009C1DE5"/>
    <w:pPr>
      <w:spacing w:after="120"/>
      <w:ind w:left="360"/>
    </w:pPr>
  </w:style>
  <w:style w:type="character" w:customStyle="1" w:styleId="BodyTextIndentChar">
    <w:name w:val="Body Text Indent Char"/>
    <w:basedOn w:val="DefaultParagraphFont"/>
    <w:link w:val="BodyTextIndent"/>
    <w:uiPriority w:val="99"/>
    <w:rsid w:val="009C1DE5"/>
    <w:rPr>
      <w:rFonts w:ascii="Times New Roman" w:hAnsi="Times New Roman" w:cs="Times New Roman"/>
    </w:rPr>
  </w:style>
  <w:style w:type="table" w:customStyle="1" w:styleId="TableGrid1">
    <w:name w:val="Table Grid1"/>
    <w:basedOn w:val="TableNormal"/>
    <w:next w:val="TableGrid"/>
    <w:uiPriority w:val="59"/>
    <w:rsid w:val="002C1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6F7A"/>
    <w:rPr>
      <w:sz w:val="16"/>
      <w:szCs w:val="16"/>
    </w:rPr>
  </w:style>
  <w:style w:type="paragraph" w:styleId="CommentText">
    <w:name w:val="annotation text"/>
    <w:basedOn w:val="Normal"/>
    <w:link w:val="CommentTextChar"/>
    <w:uiPriority w:val="99"/>
    <w:semiHidden/>
    <w:unhideWhenUsed/>
    <w:rsid w:val="00EF6F7A"/>
    <w:rPr>
      <w:sz w:val="20"/>
      <w:szCs w:val="20"/>
    </w:rPr>
  </w:style>
  <w:style w:type="character" w:customStyle="1" w:styleId="CommentTextChar">
    <w:name w:val="Comment Text Char"/>
    <w:basedOn w:val="DefaultParagraphFont"/>
    <w:link w:val="CommentText"/>
    <w:uiPriority w:val="99"/>
    <w:semiHidden/>
    <w:rsid w:val="00EF6F7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6F7A"/>
    <w:rPr>
      <w:b/>
      <w:bCs/>
    </w:rPr>
  </w:style>
  <w:style w:type="character" w:customStyle="1" w:styleId="CommentSubjectChar">
    <w:name w:val="Comment Subject Char"/>
    <w:basedOn w:val="CommentTextChar"/>
    <w:link w:val="CommentSubject"/>
    <w:uiPriority w:val="99"/>
    <w:semiHidden/>
    <w:rsid w:val="00EF6F7A"/>
    <w:rPr>
      <w:rFonts w:ascii="Times New Roman" w:hAnsi="Times New Roman" w:cs="Times New Roman"/>
      <w:b/>
      <w:bCs/>
      <w:sz w:val="20"/>
      <w:szCs w:val="20"/>
    </w:rPr>
  </w:style>
  <w:style w:type="paragraph" w:styleId="Header">
    <w:name w:val="header"/>
    <w:basedOn w:val="Normal"/>
    <w:link w:val="HeaderChar"/>
    <w:uiPriority w:val="99"/>
    <w:unhideWhenUsed/>
    <w:rsid w:val="00410EBD"/>
    <w:pPr>
      <w:tabs>
        <w:tab w:val="center" w:pos="4680"/>
        <w:tab w:val="right" w:pos="9360"/>
      </w:tabs>
    </w:pPr>
  </w:style>
  <w:style w:type="character" w:customStyle="1" w:styleId="HeaderChar">
    <w:name w:val="Header Char"/>
    <w:basedOn w:val="DefaultParagraphFont"/>
    <w:link w:val="Header"/>
    <w:uiPriority w:val="99"/>
    <w:rsid w:val="00410EBD"/>
    <w:rPr>
      <w:rFonts w:ascii="Times New Roman" w:hAnsi="Times New Roman" w:cs="Times New Roman"/>
    </w:rPr>
  </w:style>
  <w:style w:type="table" w:customStyle="1" w:styleId="TableGrid11">
    <w:name w:val="Table Grid11"/>
    <w:basedOn w:val="TableNormal"/>
    <w:next w:val="TableGrid"/>
    <w:uiPriority w:val="59"/>
    <w:rsid w:val="0029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5793"/>
    <w:rPr>
      <w:color w:val="800080" w:themeColor="followedHyperlink"/>
      <w:u w:val="single"/>
    </w:rPr>
  </w:style>
  <w:style w:type="paragraph" w:styleId="BodyText3">
    <w:name w:val="Body Text 3"/>
    <w:basedOn w:val="Normal"/>
    <w:link w:val="BodyText3Char"/>
    <w:rsid w:val="00F22A11"/>
    <w:pPr>
      <w:spacing w:after="120"/>
      <w:jc w:val="left"/>
    </w:pPr>
    <w:rPr>
      <w:rFonts w:eastAsia="Times New Roman"/>
      <w:sz w:val="16"/>
      <w:szCs w:val="16"/>
      <w:lang w:val="x-none" w:eastAsia="x-none"/>
    </w:rPr>
  </w:style>
  <w:style w:type="character" w:customStyle="1" w:styleId="BodyText3Char">
    <w:name w:val="Body Text 3 Char"/>
    <w:basedOn w:val="DefaultParagraphFont"/>
    <w:link w:val="BodyText3"/>
    <w:rsid w:val="00F22A11"/>
    <w:rPr>
      <w:rFonts w:ascii="Times New Roman" w:eastAsia="Times New Roman" w:hAnsi="Times New Roman" w:cs="Times New Roman"/>
      <w:sz w:val="16"/>
      <w:szCs w:val="16"/>
      <w:lang w:val="x-none" w:eastAsia="x-none"/>
    </w:rPr>
  </w:style>
  <w:style w:type="paragraph" w:customStyle="1" w:styleId="topicarea">
    <w:name w:val="topicarea"/>
    <w:basedOn w:val="Normal"/>
    <w:rsid w:val="00DF51B1"/>
    <w:pPr>
      <w:widowControl w:val="0"/>
      <w:autoSpaceDE w:val="0"/>
      <w:autoSpaceDN w:val="0"/>
      <w:jc w:val="both"/>
    </w:pPr>
    <w:rPr>
      <w:rFonts w:ascii="Arial" w:eastAsia="Times New Roman" w:hAnsi="Arial" w:cs="Arial"/>
      <w:b/>
      <w:bCs/>
      <w:sz w:val="28"/>
      <w:szCs w:val="28"/>
    </w:rPr>
  </w:style>
  <w:style w:type="character" w:styleId="UnresolvedMention">
    <w:name w:val="Unresolved Mention"/>
    <w:basedOn w:val="DefaultParagraphFont"/>
    <w:uiPriority w:val="99"/>
    <w:semiHidden/>
    <w:unhideWhenUsed/>
    <w:rsid w:val="00730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993">
      <w:bodyDiv w:val="1"/>
      <w:marLeft w:val="0"/>
      <w:marRight w:val="0"/>
      <w:marTop w:val="0"/>
      <w:marBottom w:val="0"/>
      <w:divBdr>
        <w:top w:val="none" w:sz="0" w:space="0" w:color="auto"/>
        <w:left w:val="none" w:sz="0" w:space="0" w:color="auto"/>
        <w:bottom w:val="none" w:sz="0" w:space="0" w:color="auto"/>
        <w:right w:val="none" w:sz="0" w:space="0" w:color="auto"/>
      </w:divBdr>
    </w:div>
    <w:div w:id="74129031">
      <w:bodyDiv w:val="1"/>
      <w:marLeft w:val="0"/>
      <w:marRight w:val="0"/>
      <w:marTop w:val="0"/>
      <w:marBottom w:val="0"/>
      <w:divBdr>
        <w:top w:val="none" w:sz="0" w:space="0" w:color="auto"/>
        <w:left w:val="none" w:sz="0" w:space="0" w:color="auto"/>
        <w:bottom w:val="none" w:sz="0" w:space="0" w:color="auto"/>
        <w:right w:val="none" w:sz="0" w:space="0" w:color="auto"/>
      </w:divBdr>
    </w:div>
    <w:div w:id="199174736">
      <w:bodyDiv w:val="1"/>
      <w:marLeft w:val="0"/>
      <w:marRight w:val="0"/>
      <w:marTop w:val="0"/>
      <w:marBottom w:val="0"/>
      <w:divBdr>
        <w:top w:val="none" w:sz="0" w:space="0" w:color="auto"/>
        <w:left w:val="none" w:sz="0" w:space="0" w:color="auto"/>
        <w:bottom w:val="none" w:sz="0" w:space="0" w:color="auto"/>
        <w:right w:val="none" w:sz="0" w:space="0" w:color="auto"/>
      </w:divBdr>
    </w:div>
    <w:div w:id="224797679">
      <w:bodyDiv w:val="1"/>
      <w:marLeft w:val="0"/>
      <w:marRight w:val="0"/>
      <w:marTop w:val="0"/>
      <w:marBottom w:val="0"/>
      <w:divBdr>
        <w:top w:val="none" w:sz="0" w:space="0" w:color="auto"/>
        <w:left w:val="none" w:sz="0" w:space="0" w:color="auto"/>
        <w:bottom w:val="none" w:sz="0" w:space="0" w:color="auto"/>
        <w:right w:val="none" w:sz="0" w:space="0" w:color="auto"/>
      </w:divBdr>
    </w:div>
    <w:div w:id="379522786">
      <w:bodyDiv w:val="1"/>
      <w:marLeft w:val="0"/>
      <w:marRight w:val="0"/>
      <w:marTop w:val="0"/>
      <w:marBottom w:val="0"/>
      <w:divBdr>
        <w:top w:val="none" w:sz="0" w:space="0" w:color="auto"/>
        <w:left w:val="none" w:sz="0" w:space="0" w:color="auto"/>
        <w:bottom w:val="none" w:sz="0" w:space="0" w:color="auto"/>
        <w:right w:val="none" w:sz="0" w:space="0" w:color="auto"/>
      </w:divBdr>
    </w:div>
    <w:div w:id="667369696">
      <w:bodyDiv w:val="1"/>
      <w:marLeft w:val="0"/>
      <w:marRight w:val="0"/>
      <w:marTop w:val="0"/>
      <w:marBottom w:val="0"/>
      <w:divBdr>
        <w:top w:val="none" w:sz="0" w:space="0" w:color="auto"/>
        <w:left w:val="none" w:sz="0" w:space="0" w:color="auto"/>
        <w:bottom w:val="none" w:sz="0" w:space="0" w:color="auto"/>
        <w:right w:val="none" w:sz="0" w:space="0" w:color="auto"/>
      </w:divBdr>
    </w:div>
    <w:div w:id="1085105072">
      <w:bodyDiv w:val="1"/>
      <w:marLeft w:val="0"/>
      <w:marRight w:val="0"/>
      <w:marTop w:val="0"/>
      <w:marBottom w:val="0"/>
      <w:divBdr>
        <w:top w:val="none" w:sz="0" w:space="0" w:color="auto"/>
        <w:left w:val="none" w:sz="0" w:space="0" w:color="auto"/>
        <w:bottom w:val="none" w:sz="0" w:space="0" w:color="auto"/>
        <w:right w:val="none" w:sz="0" w:space="0" w:color="auto"/>
      </w:divBdr>
    </w:div>
    <w:div w:id="1115754056">
      <w:bodyDiv w:val="1"/>
      <w:marLeft w:val="0"/>
      <w:marRight w:val="0"/>
      <w:marTop w:val="0"/>
      <w:marBottom w:val="0"/>
      <w:divBdr>
        <w:top w:val="none" w:sz="0" w:space="0" w:color="auto"/>
        <w:left w:val="none" w:sz="0" w:space="0" w:color="auto"/>
        <w:bottom w:val="none" w:sz="0" w:space="0" w:color="auto"/>
        <w:right w:val="none" w:sz="0" w:space="0" w:color="auto"/>
      </w:divBdr>
    </w:div>
    <w:div w:id="1121337964">
      <w:bodyDiv w:val="1"/>
      <w:marLeft w:val="0"/>
      <w:marRight w:val="0"/>
      <w:marTop w:val="0"/>
      <w:marBottom w:val="0"/>
      <w:divBdr>
        <w:top w:val="none" w:sz="0" w:space="0" w:color="auto"/>
        <w:left w:val="none" w:sz="0" w:space="0" w:color="auto"/>
        <w:bottom w:val="none" w:sz="0" w:space="0" w:color="auto"/>
        <w:right w:val="none" w:sz="0" w:space="0" w:color="auto"/>
      </w:divBdr>
    </w:div>
    <w:div w:id="1213233502">
      <w:bodyDiv w:val="1"/>
      <w:marLeft w:val="0"/>
      <w:marRight w:val="0"/>
      <w:marTop w:val="0"/>
      <w:marBottom w:val="0"/>
      <w:divBdr>
        <w:top w:val="none" w:sz="0" w:space="0" w:color="auto"/>
        <w:left w:val="none" w:sz="0" w:space="0" w:color="auto"/>
        <w:bottom w:val="none" w:sz="0" w:space="0" w:color="auto"/>
        <w:right w:val="none" w:sz="0" w:space="0" w:color="auto"/>
      </w:divBdr>
    </w:div>
    <w:div w:id="1386641028">
      <w:bodyDiv w:val="1"/>
      <w:marLeft w:val="0"/>
      <w:marRight w:val="0"/>
      <w:marTop w:val="0"/>
      <w:marBottom w:val="0"/>
      <w:divBdr>
        <w:top w:val="none" w:sz="0" w:space="0" w:color="auto"/>
        <w:left w:val="none" w:sz="0" w:space="0" w:color="auto"/>
        <w:bottom w:val="none" w:sz="0" w:space="0" w:color="auto"/>
        <w:right w:val="none" w:sz="0" w:space="0" w:color="auto"/>
      </w:divBdr>
    </w:div>
    <w:div w:id="1621645415">
      <w:bodyDiv w:val="1"/>
      <w:marLeft w:val="0"/>
      <w:marRight w:val="0"/>
      <w:marTop w:val="0"/>
      <w:marBottom w:val="0"/>
      <w:divBdr>
        <w:top w:val="none" w:sz="0" w:space="0" w:color="auto"/>
        <w:left w:val="none" w:sz="0" w:space="0" w:color="auto"/>
        <w:bottom w:val="none" w:sz="0" w:space="0" w:color="auto"/>
        <w:right w:val="none" w:sz="0" w:space="0" w:color="auto"/>
      </w:divBdr>
    </w:div>
    <w:div w:id="1678657327">
      <w:bodyDiv w:val="1"/>
      <w:marLeft w:val="0"/>
      <w:marRight w:val="0"/>
      <w:marTop w:val="0"/>
      <w:marBottom w:val="0"/>
      <w:divBdr>
        <w:top w:val="none" w:sz="0" w:space="0" w:color="auto"/>
        <w:left w:val="none" w:sz="0" w:space="0" w:color="auto"/>
        <w:bottom w:val="none" w:sz="0" w:space="0" w:color="auto"/>
        <w:right w:val="none" w:sz="0" w:space="0" w:color="auto"/>
      </w:divBdr>
    </w:div>
    <w:div w:id="1729843160">
      <w:bodyDiv w:val="1"/>
      <w:marLeft w:val="0"/>
      <w:marRight w:val="0"/>
      <w:marTop w:val="0"/>
      <w:marBottom w:val="0"/>
      <w:divBdr>
        <w:top w:val="none" w:sz="0" w:space="0" w:color="auto"/>
        <w:left w:val="none" w:sz="0" w:space="0" w:color="auto"/>
        <w:bottom w:val="none" w:sz="0" w:space="0" w:color="auto"/>
        <w:right w:val="none" w:sz="0" w:space="0" w:color="auto"/>
      </w:divBdr>
    </w:div>
    <w:div w:id="1758163326">
      <w:bodyDiv w:val="1"/>
      <w:marLeft w:val="0"/>
      <w:marRight w:val="0"/>
      <w:marTop w:val="0"/>
      <w:marBottom w:val="0"/>
      <w:divBdr>
        <w:top w:val="none" w:sz="0" w:space="0" w:color="auto"/>
        <w:left w:val="none" w:sz="0" w:space="0" w:color="auto"/>
        <w:bottom w:val="none" w:sz="0" w:space="0" w:color="auto"/>
        <w:right w:val="none" w:sz="0" w:space="0" w:color="auto"/>
      </w:divBdr>
    </w:div>
    <w:div w:id="1774671089">
      <w:bodyDiv w:val="1"/>
      <w:marLeft w:val="0"/>
      <w:marRight w:val="0"/>
      <w:marTop w:val="0"/>
      <w:marBottom w:val="0"/>
      <w:divBdr>
        <w:top w:val="none" w:sz="0" w:space="0" w:color="auto"/>
        <w:left w:val="none" w:sz="0" w:space="0" w:color="auto"/>
        <w:bottom w:val="none" w:sz="0" w:space="0" w:color="auto"/>
        <w:right w:val="none" w:sz="0" w:space="0" w:color="auto"/>
      </w:divBdr>
    </w:div>
    <w:div w:id="210128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sancewich@meketagroup.com" TargetMode="External"/><Relationship Id="rId18" Type="http://schemas.openxmlformats.org/officeDocument/2006/relationships/hyperlink" Target="mailto:Procurement_Officer@sur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urs.org/" TargetMode="External"/><Relationship Id="rId7" Type="http://schemas.openxmlformats.org/officeDocument/2006/relationships/endnotes" Target="endnotes.xml"/><Relationship Id="rId12" Type="http://schemas.openxmlformats.org/officeDocument/2006/relationships/hyperlink" Target="mailto:jharris@meketagroup.com" TargetMode="External"/><Relationship Id="rId17" Type="http://schemas.openxmlformats.org/officeDocument/2006/relationships/hyperlink" Target="mailto:rfpresponse@meketa.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curement_Officer@surs.org" TargetMode="External"/><Relationship Id="rId20" Type="http://schemas.openxmlformats.org/officeDocument/2006/relationships/hyperlink" Target="mailto:dsancewich@meketagrou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_Officer@surs.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fpresponse@meketa.com" TargetMode="External"/><Relationship Id="rId23" Type="http://schemas.openxmlformats.org/officeDocument/2006/relationships/hyperlink" Target="http://www.ilga.gov/legislation/publicacts/98/PDF/098-1022.pdf" TargetMode="External"/><Relationship Id="rId10" Type="http://schemas.openxmlformats.org/officeDocument/2006/relationships/hyperlink" Target="http://www.surs.org" TargetMode="External"/><Relationship Id="rId19" Type="http://schemas.openxmlformats.org/officeDocument/2006/relationships/hyperlink" Target="mailto:jharris@meketagroup.com" TargetMode="External"/><Relationship Id="rId4" Type="http://schemas.openxmlformats.org/officeDocument/2006/relationships/settings" Target="settings.xml"/><Relationship Id="rId9" Type="http://schemas.openxmlformats.org/officeDocument/2006/relationships/hyperlink" Target="http://www.surs.org" TargetMode="External"/><Relationship Id="rId14" Type="http://schemas.openxmlformats.org/officeDocument/2006/relationships/hyperlink" Target="mailto:Procurement_Officer@surs.org" TargetMode="External"/><Relationship Id="rId22" Type="http://schemas.openxmlformats.org/officeDocument/2006/relationships/hyperlink" Target="http://www.il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47AC6-B8A4-41DB-9079-385A6434C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5135</Words>
  <Characters>29276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DeLoriea</dc:creator>
  <cp:keywords/>
  <dc:description/>
  <cp:lastModifiedBy>Joe Duncan</cp:lastModifiedBy>
  <cp:revision>4</cp:revision>
  <cp:lastPrinted>2020-01-14T20:53:00Z</cp:lastPrinted>
  <dcterms:created xsi:type="dcterms:W3CDTF">2020-01-14T20:46:00Z</dcterms:created>
  <dcterms:modified xsi:type="dcterms:W3CDTF">2020-01-14T20:55:00Z</dcterms:modified>
</cp:coreProperties>
</file>